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EF4" w:rsidRDefault="003B3EF4" w:rsidP="00BC24F5">
      <w:pPr>
        <w:spacing w:line="360" w:lineRule="auto"/>
        <w:jc w:val="both"/>
        <w:rPr>
          <w:rFonts w:ascii="Palatino Linotype" w:hAnsi="Palatino Linotype" w:cs="Arial"/>
          <w:b/>
          <w:lang w:eastAsia="es-MX"/>
        </w:rPr>
      </w:pPr>
      <w:r>
        <w:rPr>
          <w:rFonts w:ascii="Palatino Linotype" w:hAnsi="Palatino Linotype" w:cs="Arial"/>
          <w:b/>
        </w:rPr>
        <w:t xml:space="preserve">VOTO </w:t>
      </w:r>
      <w:r w:rsidR="0027464F">
        <w:rPr>
          <w:rFonts w:ascii="Palatino Linotype" w:hAnsi="Palatino Linotype" w:cs="Arial"/>
          <w:b/>
        </w:rPr>
        <w:t>PARTICULAR</w:t>
      </w:r>
      <w:r w:rsidR="007B70C2" w:rsidRPr="00855363">
        <w:rPr>
          <w:rFonts w:ascii="Palatino Linotype" w:hAnsi="Palatino Linotype" w:cs="Arial"/>
          <w:b/>
        </w:rPr>
        <w:t xml:space="preserve"> DEL COMISIONADO JOSÉ GUADALUPE LUNA HERNÁNDEZ EN EL RECURSO DE REVISIÓN</w:t>
      </w:r>
      <w:r w:rsidR="00FC0B18" w:rsidRPr="00855363">
        <w:rPr>
          <w:rFonts w:ascii="Palatino Linotype" w:hAnsi="Palatino Linotype" w:cs="Arial"/>
          <w:b/>
        </w:rPr>
        <w:t xml:space="preserve"> </w:t>
      </w:r>
      <w:r w:rsidR="00AF5BBB">
        <w:rPr>
          <w:rFonts w:ascii="Palatino Linotype" w:hAnsi="Palatino Linotype" w:cs="Arial"/>
          <w:b/>
          <w:bCs/>
          <w:lang w:eastAsia="es-MX"/>
        </w:rPr>
        <w:t>03384</w:t>
      </w:r>
      <w:r w:rsidR="00383710" w:rsidRPr="00855363">
        <w:rPr>
          <w:rFonts w:ascii="Palatino Linotype" w:hAnsi="Palatino Linotype" w:cs="Arial"/>
          <w:b/>
          <w:bCs/>
          <w:lang w:eastAsia="es-MX"/>
        </w:rPr>
        <w:t>/INFOEM/IP/RR/2018</w:t>
      </w:r>
      <w:r>
        <w:rPr>
          <w:rFonts w:ascii="Palatino Linotype" w:hAnsi="Palatino Linotype" w:cs="Arial"/>
          <w:b/>
          <w:lang w:eastAsia="es-MX"/>
        </w:rPr>
        <w:t>.</w:t>
      </w:r>
    </w:p>
    <w:p w:rsidR="003B3EF4" w:rsidRDefault="003B3EF4" w:rsidP="00BC24F5">
      <w:pPr>
        <w:spacing w:line="360" w:lineRule="auto"/>
        <w:jc w:val="both"/>
        <w:rPr>
          <w:rFonts w:ascii="Palatino Linotype" w:hAnsi="Palatino Linotype" w:cs="Arial"/>
          <w:b/>
          <w:lang w:eastAsia="es-MX"/>
        </w:rPr>
      </w:pPr>
    </w:p>
    <w:p w:rsidR="005A61A9" w:rsidRDefault="005A61A9" w:rsidP="003B3EF4">
      <w:pPr>
        <w:spacing w:line="360" w:lineRule="auto"/>
        <w:jc w:val="both"/>
        <w:rPr>
          <w:rFonts w:ascii="Palatino Linotype" w:hAnsi="Palatino Linotype" w:cs="Arial"/>
          <w:b/>
          <w:lang w:eastAsia="es-MX"/>
        </w:rPr>
      </w:pPr>
    </w:p>
    <w:p w:rsidR="00013DED" w:rsidRDefault="003B3EF4" w:rsidP="003B3EF4">
      <w:pPr>
        <w:spacing w:line="360" w:lineRule="auto"/>
        <w:jc w:val="both"/>
        <w:rPr>
          <w:rFonts w:ascii="Palatino Linotype" w:hAnsi="Palatino Linotype" w:cs="Arial"/>
          <w:b/>
          <w:lang w:eastAsia="es-MX"/>
        </w:rPr>
      </w:pPr>
      <w:r>
        <w:rPr>
          <w:rFonts w:ascii="Palatino Linotype" w:hAnsi="Palatino Linotype" w:cs="Arial"/>
          <w:b/>
          <w:lang w:eastAsia="es-MX"/>
        </w:rPr>
        <w:t>Resumen del v</w:t>
      </w:r>
      <w:r w:rsidR="00053585">
        <w:rPr>
          <w:rFonts w:ascii="Palatino Linotype" w:hAnsi="Palatino Linotype" w:cs="Arial"/>
          <w:b/>
          <w:lang w:eastAsia="es-MX"/>
        </w:rPr>
        <w:t xml:space="preserve">oto: </w:t>
      </w:r>
      <w:r w:rsidR="00053585" w:rsidRPr="00053585">
        <w:rPr>
          <w:rFonts w:ascii="Palatino Linotype" w:hAnsi="Palatino Linotype" w:cs="Arial"/>
          <w:lang w:eastAsia="es-MX"/>
        </w:rPr>
        <w:t xml:space="preserve">El presente voto considera la participación que tienen los diputados locales dentro del Programa de Apoyo a la Comunidad, a efecto de </w:t>
      </w:r>
      <w:proofErr w:type="gramStart"/>
      <w:r w:rsidR="00053585" w:rsidRPr="00053585">
        <w:rPr>
          <w:rFonts w:ascii="Palatino Linotype" w:hAnsi="Palatino Linotype" w:cs="Arial"/>
          <w:lang w:eastAsia="es-MX"/>
        </w:rPr>
        <w:t>co</w:t>
      </w:r>
      <w:r w:rsidR="00104953">
        <w:rPr>
          <w:rFonts w:ascii="Palatino Linotype" w:hAnsi="Palatino Linotype" w:cs="Arial"/>
          <w:lang w:eastAsia="es-MX"/>
        </w:rPr>
        <w:t>mprobar</w:t>
      </w:r>
      <w:proofErr w:type="gramEnd"/>
      <w:r w:rsidR="00104953">
        <w:rPr>
          <w:rFonts w:ascii="Palatino Linotype" w:hAnsi="Palatino Linotype" w:cs="Arial"/>
          <w:lang w:eastAsia="es-MX"/>
        </w:rPr>
        <w:t xml:space="preserve"> que</w:t>
      </w:r>
      <w:r w:rsidR="0027464F">
        <w:rPr>
          <w:rFonts w:ascii="Palatino Linotype" w:hAnsi="Palatino Linotype" w:cs="Arial"/>
          <w:lang w:eastAsia="es-MX"/>
        </w:rPr>
        <w:t>,</w:t>
      </w:r>
      <w:r w:rsidR="00104953">
        <w:rPr>
          <w:rFonts w:ascii="Palatino Linotype" w:hAnsi="Palatino Linotype" w:cs="Arial"/>
          <w:lang w:eastAsia="es-MX"/>
        </w:rPr>
        <w:t xml:space="preserve"> si bien no generan </w:t>
      </w:r>
      <w:r w:rsidR="00053585" w:rsidRPr="00053585">
        <w:rPr>
          <w:rFonts w:ascii="Palatino Linotype" w:hAnsi="Palatino Linotype" w:cs="Arial"/>
          <w:lang w:eastAsia="es-MX"/>
        </w:rPr>
        <w:t xml:space="preserve">toda la información sobre el </w:t>
      </w:r>
      <w:r w:rsidR="0027464F">
        <w:rPr>
          <w:rFonts w:ascii="Palatino Linotype" w:hAnsi="Palatino Linotype" w:cs="Arial"/>
          <w:lang w:eastAsia="es-MX"/>
        </w:rPr>
        <w:t>programa en comento</w:t>
      </w:r>
      <w:r w:rsidR="00104953">
        <w:rPr>
          <w:rFonts w:ascii="Palatino Linotype" w:hAnsi="Palatino Linotype" w:cs="Arial"/>
          <w:lang w:eastAsia="es-MX"/>
        </w:rPr>
        <w:t xml:space="preserve">, deben poseer o administrar </w:t>
      </w:r>
      <w:r w:rsidR="0027464F">
        <w:rPr>
          <w:rFonts w:ascii="Palatino Linotype" w:hAnsi="Palatino Linotype" w:cs="Arial"/>
          <w:lang w:eastAsia="es-MX"/>
        </w:rPr>
        <w:t>información relacionada</w:t>
      </w:r>
      <w:r w:rsidR="00104953">
        <w:rPr>
          <w:rFonts w:ascii="Palatino Linotype" w:hAnsi="Palatino Linotype" w:cs="Arial"/>
          <w:lang w:eastAsia="es-MX"/>
        </w:rPr>
        <w:t>,</w:t>
      </w:r>
      <w:r w:rsidR="00104953" w:rsidRPr="00053585">
        <w:rPr>
          <w:rFonts w:ascii="Palatino Linotype" w:hAnsi="Palatino Linotype" w:cs="Arial"/>
          <w:lang w:eastAsia="es-MX"/>
        </w:rPr>
        <w:t xml:space="preserve"> toda vez que </w:t>
      </w:r>
      <w:r w:rsidR="00053585" w:rsidRPr="00053585">
        <w:rPr>
          <w:rFonts w:ascii="Palatino Linotype" w:hAnsi="Palatino Linotype" w:cs="Arial"/>
          <w:lang w:eastAsia="es-MX"/>
        </w:rPr>
        <w:t>fungen como gestores</w:t>
      </w:r>
      <w:r w:rsidR="0027464F">
        <w:rPr>
          <w:rFonts w:ascii="Palatino Linotype" w:hAnsi="Palatino Linotype" w:cs="Arial"/>
          <w:lang w:eastAsia="es-MX"/>
        </w:rPr>
        <w:t xml:space="preserve"> de éste</w:t>
      </w:r>
      <w:r w:rsidR="00053585" w:rsidRPr="00053585">
        <w:rPr>
          <w:rFonts w:ascii="Palatino Linotype" w:hAnsi="Palatino Linotype" w:cs="Arial"/>
          <w:lang w:eastAsia="es-MX"/>
        </w:rPr>
        <w:t>.</w:t>
      </w:r>
    </w:p>
    <w:p w:rsidR="00104953" w:rsidRPr="003B3EF4" w:rsidRDefault="00104953" w:rsidP="003B3EF4">
      <w:pPr>
        <w:spacing w:line="360" w:lineRule="auto"/>
        <w:jc w:val="both"/>
        <w:rPr>
          <w:rFonts w:ascii="Palatino Linotype" w:hAnsi="Palatino Linotype" w:cs="Arial"/>
          <w:b/>
          <w:lang w:eastAsia="es-MX"/>
        </w:rPr>
      </w:pPr>
    </w:p>
    <w:p w:rsidR="003B3EF4" w:rsidRPr="003B3EF4" w:rsidRDefault="00013DED" w:rsidP="00013DE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eastAsiaTheme="minorHAnsi" w:hAnsi="Palatino Linotype" w:cs="Arial"/>
          <w:b/>
          <w:bdr w:val="none" w:sz="0" w:space="0" w:color="auto"/>
        </w:rPr>
      </w:pPr>
      <w:r w:rsidRPr="00013DED">
        <w:rPr>
          <w:rFonts w:ascii="Palatino Linotype" w:eastAsiaTheme="minorHAnsi" w:hAnsi="Palatino Linotype" w:cs="Arial"/>
          <w:b/>
          <w:bdr w:val="none" w:sz="0" w:space="0" w:color="auto"/>
        </w:rPr>
        <w:t>Índice</w:t>
      </w:r>
    </w:p>
    <w:sdt>
      <w:sdtPr>
        <w:rPr>
          <w:rFonts w:asciiTheme="minorHAnsi" w:eastAsiaTheme="minorHAnsi" w:hAnsiTheme="minorHAnsi" w:cstheme="minorBidi"/>
          <w:sz w:val="22"/>
          <w:szCs w:val="22"/>
          <w:bdr w:val="none" w:sz="0" w:space="0" w:color="auto"/>
          <w:lang w:val="es-ES"/>
        </w:rPr>
        <w:id w:val="-1628690016"/>
        <w:docPartObj>
          <w:docPartGallery w:val="Table of Contents"/>
          <w:docPartUnique/>
        </w:docPartObj>
      </w:sdtPr>
      <w:sdtEndPr>
        <w:rPr>
          <w:b/>
          <w:bCs/>
        </w:rPr>
      </w:sdtEndPr>
      <w:sdtContent>
        <w:p w:rsidR="00013DED" w:rsidRPr="00013DED" w:rsidRDefault="00013DED" w:rsidP="00013DE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rPr>
              <w:rFonts w:asciiTheme="majorHAnsi" w:eastAsiaTheme="majorEastAsia" w:hAnsiTheme="majorHAnsi" w:cstheme="majorBidi"/>
              <w:color w:val="2E74B5" w:themeColor="accent1" w:themeShade="BF"/>
              <w:sz w:val="32"/>
              <w:szCs w:val="32"/>
              <w:bdr w:val="none" w:sz="0" w:space="0" w:color="auto"/>
              <w:lang w:eastAsia="es-MX"/>
            </w:rPr>
          </w:pPr>
        </w:p>
        <w:p w:rsidR="003F5B89" w:rsidRDefault="00013DED">
          <w:pPr>
            <w:pStyle w:val="TDC1"/>
            <w:rPr>
              <w:rFonts w:asciiTheme="minorHAnsi" w:eastAsiaTheme="minorEastAsia" w:hAnsiTheme="minorHAnsi" w:cstheme="minorBidi"/>
              <w:noProof/>
              <w:sz w:val="22"/>
              <w:szCs w:val="22"/>
              <w:bdr w:val="none" w:sz="0" w:space="0" w:color="auto"/>
              <w:lang w:eastAsia="es-MX"/>
            </w:rPr>
          </w:pPr>
          <w:r w:rsidRPr="00013DED">
            <w:rPr>
              <w:rFonts w:asciiTheme="minorHAnsi" w:eastAsiaTheme="minorHAnsi" w:hAnsiTheme="minorHAnsi" w:cstheme="minorBidi"/>
              <w:b/>
              <w:sz w:val="22"/>
              <w:szCs w:val="22"/>
              <w:bdr w:val="none" w:sz="0" w:space="0" w:color="auto"/>
            </w:rPr>
            <w:fldChar w:fldCharType="begin"/>
          </w:r>
          <w:r w:rsidRPr="00013DED">
            <w:rPr>
              <w:rFonts w:asciiTheme="minorHAnsi" w:eastAsiaTheme="minorHAnsi" w:hAnsiTheme="minorHAnsi" w:cstheme="minorBidi"/>
              <w:b/>
              <w:sz w:val="22"/>
              <w:szCs w:val="22"/>
              <w:bdr w:val="none" w:sz="0" w:space="0" w:color="auto"/>
            </w:rPr>
            <w:instrText xml:space="preserve"> TOC \o "1-3" \h \z \u </w:instrText>
          </w:r>
          <w:r w:rsidRPr="00013DED">
            <w:rPr>
              <w:rFonts w:asciiTheme="minorHAnsi" w:eastAsiaTheme="minorHAnsi" w:hAnsiTheme="minorHAnsi" w:cstheme="minorBidi"/>
              <w:b/>
              <w:sz w:val="22"/>
              <w:szCs w:val="22"/>
              <w:bdr w:val="none" w:sz="0" w:space="0" w:color="auto"/>
            </w:rPr>
            <w:fldChar w:fldCharType="separate"/>
          </w:r>
          <w:hyperlink w:anchor="_Toc530502030" w:history="1">
            <w:r w:rsidR="003F5B89" w:rsidRPr="001A61BB">
              <w:rPr>
                <w:rStyle w:val="Hipervnculo"/>
                <w:noProof/>
              </w:rPr>
              <w:t>I.</w:t>
            </w:r>
            <w:r w:rsidR="003F5B89">
              <w:rPr>
                <w:rFonts w:asciiTheme="minorHAnsi" w:eastAsiaTheme="minorEastAsia" w:hAnsiTheme="minorHAnsi" w:cstheme="minorBidi"/>
                <w:noProof/>
                <w:sz w:val="22"/>
                <w:szCs w:val="22"/>
                <w:bdr w:val="none" w:sz="0" w:space="0" w:color="auto"/>
                <w:lang w:eastAsia="es-MX"/>
              </w:rPr>
              <w:tab/>
            </w:r>
            <w:r w:rsidR="003F5B89" w:rsidRPr="001A61BB">
              <w:rPr>
                <w:rStyle w:val="Hipervnculo"/>
                <w:noProof/>
              </w:rPr>
              <w:t>Consideraciones Generales.</w:t>
            </w:r>
            <w:r w:rsidR="003F5B89">
              <w:rPr>
                <w:noProof/>
                <w:webHidden/>
              </w:rPr>
              <w:tab/>
            </w:r>
            <w:r w:rsidR="003F5B89">
              <w:rPr>
                <w:noProof/>
                <w:webHidden/>
              </w:rPr>
              <w:fldChar w:fldCharType="begin"/>
            </w:r>
            <w:r w:rsidR="003F5B89">
              <w:rPr>
                <w:noProof/>
                <w:webHidden/>
              </w:rPr>
              <w:instrText xml:space="preserve"> PAGEREF _Toc530502030 \h </w:instrText>
            </w:r>
            <w:r w:rsidR="003F5B89">
              <w:rPr>
                <w:noProof/>
                <w:webHidden/>
              </w:rPr>
            </w:r>
            <w:r w:rsidR="003F5B89">
              <w:rPr>
                <w:noProof/>
                <w:webHidden/>
              </w:rPr>
              <w:fldChar w:fldCharType="separate"/>
            </w:r>
            <w:r w:rsidR="00AF5BBB">
              <w:rPr>
                <w:noProof/>
                <w:webHidden/>
              </w:rPr>
              <w:t>1</w:t>
            </w:r>
            <w:r w:rsidR="003F5B89">
              <w:rPr>
                <w:noProof/>
                <w:webHidden/>
              </w:rPr>
              <w:fldChar w:fldCharType="end"/>
            </w:r>
          </w:hyperlink>
        </w:p>
        <w:p w:rsidR="003F5B89" w:rsidRDefault="00E42012">
          <w:pPr>
            <w:pStyle w:val="TDC1"/>
            <w:rPr>
              <w:rFonts w:asciiTheme="minorHAnsi" w:eastAsiaTheme="minorEastAsia" w:hAnsiTheme="minorHAnsi" w:cstheme="minorBidi"/>
              <w:noProof/>
              <w:sz w:val="22"/>
              <w:szCs w:val="22"/>
              <w:bdr w:val="none" w:sz="0" w:space="0" w:color="auto"/>
              <w:lang w:eastAsia="es-MX"/>
            </w:rPr>
          </w:pPr>
          <w:hyperlink w:anchor="_Toc530502031" w:history="1">
            <w:r w:rsidR="003F5B89" w:rsidRPr="001A61BB">
              <w:rPr>
                <w:rStyle w:val="Hipervnculo"/>
                <w:noProof/>
              </w:rPr>
              <w:t>II. De los Requerimientos planteados en el recurso de revisión.</w:t>
            </w:r>
            <w:r w:rsidR="003F5B89">
              <w:rPr>
                <w:noProof/>
                <w:webHidden/>
              </w:rPr>
              <w:tab/>
            </w:r>
            <w:r w:rsidR="003F5B89">
              <w:rPr>
                <w:noProof/>
                <w:webHidden/>
              </w:rPr>
              <w:fldChar w:fldCharType="begin"/>
            </w:r>
            <w:r w:rsidR="003F5B89">
              <w:rPr>
                <w:noProof/>
                <w:webHidden/>
              </w:rPr>
              <w:instrText xml:space="preserve"> PAGEREF _Toc530502031 \h </w:instrText>
            </w:r>
            <w:r w:rsidR="003F5B89">
              <w:rPr>
                <w:noProof/>
                <w:webHidden/>
              </w:rPr>
            </w:r>
            <w:r w:rsidR="003F5B89">
              <w:rPr>
                <w:noProof/>
                <w:webHidden/>
              </w:rPr>
              <w:fldChar w:fldCharType="separate"/>
            </w:r>
            <w:r w:rsidR="00AF5BBB">
              <w:rPr>
                <w:noProof/>
                <w:webHidden/>
              </w:rPr>
              <w:t>3</w:t>
            </w:r>
            <w:r w:rsidR="003F5B89">
              <w:rPr>
                <w:noProof/>
                <w:webHidden/>
              </w:rPr>
              <w:fldChar w:fldCharType="end"/>
            </w:r>
          </w:hyperlink>
        </w:p>
        <w:p w:rsidR="003F5B89" w:rsidRDefault="00E42012" w:rsidP="003F5B89">
          <w:pPr>
            <w:pStyle w:val="TDC1"/>
            <w:rPr>
              <w:rFonts w:asciiTheme="minorHAnsi" w:eastAsiaTheme="minorHAnsi" w:hAnsiTheme="minorHAnsi" w:cstheme="minorBidi"/>
              <w:b/>
              <w:bCs/>
              <w:sz w:val="22"/>
              <w:szCs w:val="22"/>
              <w:bdr w:val="none" w:sz="0" w:space="0" w:color="auto"/>
              <w:lang w:val="es-ES"/>
            </w:rPr>
          </w:pPr>
          <w:hyperlink w:anchor="_Toc530502032" w:history="1">
            <w:r w:rsidR="003F5B89" w:rsidRPr="001A61BB">
              <w:rPr>
                <w:rStyle w:val="Hipervnculo"/>
                <w:noProof/>
              </w:rPr>
              <w:t>III. Del estudio y análisis</w:t>
            </w:r>
            <w:r w:rsidR="003F5B89">
              <w:rPr>
                <w:noProof/>
                <w:webHidden/>
              </w:rPr>
              <w:tab/>
            </w:r>
            <w:r w:rsidR="003F5B89">
              <w:rPr>
                <w:noProof/>
                <w:webHidden/>
              </w:rPr>
              <w:fldChar w:fldCharType="begin"/>
            </w:r>
            <w:r w:rsidR="003F5B89">
              <w:rPr>
                <w:noProof/>
                <w:webHidden/>
              </w:rPr>
              <w:instrText xml:space="preserve"> PAGEREF _Toc530502032 \h </w:instrText>
            </w:r>
            <w:r w:rsidR="003F5B89">
              <w:rPr>
                <w:noProof/>
                <w:webHidden/>
              </w:rPr>
            </w:r>
            <w:r w:rsidR="003F5B89">
              <w:rPr>
                <w:noProof/>
                <w:webHidden/>
              </w:rPr>
              <w:fldChar w:fldCharType="separate"/>
            </w:r>
            <w:r w:rsidR="00AF5BBB">
              <w:rPr>
                <w:noProof/>
                <w:webHidden/>
              </w:rPr>
              <w:t>4</w:t>
            </w:r>
            <w:r w:rsidR="003F5B89">
              <w:rPr>
                <w:noProof/>
                <w:webHidden/>
              </w:rPr>
              <w:fldChar w:fldCharType="end"/>
            </w:r>
          </w:hyperlink>
          <w:r w:rsidR="00013DED" w:rsidRPr="00013DED">
            <w:rPr>
              <w:rFonts w:asciiTheme="minorHAnsi" w:eastAsiaTheme="minorHAnsi" w:hAnsiTheme="minorHAnsi" w:cstheme="minorBidi"/>
              <w:b/>
              <w:bCs/>
              <w:sz w:val="22"/>
              <w:szCs w:val="22"/>
              <w:bdr w:val="none" w:sz="0" w:space="0" w:color="auto"/>
              <w:lang w:val="es-ES"/>
            </w:rPr>
            <w:fldChar w:fldCharType="end"/>
          </w:r>
        </w:p>
        <w:p w:rsidR="003F5B89" w:rsidRDefault="003F5B89" w:rsidP="003F5B89">
          <w:pPr>
            <w:rPr>
              <w:lang w:val="es-ES"/>
            </w:rPr>
          </w:pPr>
        </w:p>
        <w:p w:rsidR="00013DED" w:rsidRPr="003F5B89" w:rsidRDefault="00E42012" w:rsidP="003F5B89">
          <w:pPr>
            <w:rPr>
              <w:lang w:val="es-ES"/>
            </w:rPr>
          </w:pPr>
        </w:p>
      </w:sdtContent>
    </w:sdt>
    <w:p w:rsidR="00013DED" w:rsidRPr="00013DED" w:rsidRDefault="00013DED" w:rsidP="00013DED">
      <w:pPr>
        <w:pStyle w:val="Ttulo1"/>
      </w:pPr>
      <w:bookmarkStart w:id="0" w:name="_Toc530502030"/>
      <w:r w:rsidRPr="00013DED">
        <w:t>Consideraciones Generales</w:t>
      </w:r>
      <w:r w:rsidR="00053585">
        <w:t>.</w:t>
      </w:r>
      <w:bookmarkEnd w:id="0"/>
    </w:p>
    <w:p w:rsidR="00013DED" w:rsidRDefault="00013DED" w:rsidP="00013DE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7B70C2" w:rsidRPr="00855363" w:rsidRDefault="007B70C2"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855363">
        <w:rPr>
          <w:rFonts w:ascii="Palatino Linotype" w:hAnsi="Palatino Linotype" w:cs="Arial"/>
        </w:rPr>
        <w:t>He con</w:t>
      </w:r>
      <w:r w:rsidR="0023309F">
        <w:rPr>
          <w:rFonts w:ascii="Palatino Linotype" w:hAnsi="Palatino Linotype" w:cs="Arial"/>
        </w:rPr>
        <w:t xml:space="preserve">currido con mi voto </w:t>
      </w:r>
      <w:r w:rsidR="0027464F">
        <w:rPr>
          <w:rFonts w:ascii="Palatino Linotype" w:hAnsi="Palatino Linotype" w:cs="Arial"/>
        </w:rPr>
        <w:t>particular</w:t>
      </w:r>
      <w:r w:rsidR="0023309F">
        <w:rPr>
          <w:rFonts w:ascii="Palatino Linotype" w:hAnsi="Palatino Linotype" w:cs="Arial"/>
        </w:rPr>
        <w:t xml:space="preserve"> en</w:t>
      </w:r>
      <w:r w:rsidRPr="00855363">
        <w:rPr>
          <w:rFonts w:ascii="Palatino Linotype" w:hAnsi="Palatino Linotype" w:cs="Arial"/>
        </w:rPr>
        <w:t xml:space="preserve"> la presente resolución emitida por el Pleno del Instituto de Transparencia, Acceso a la Información Pública y Protección de Datos Personales del Estado de México y Municipios,</w:t>
      </w:r>
      <w:r w:rsidR="00A9339A" w:rsidRPr="00855363">
        <w:rPr>
          <w:rFonts w:ascii="Palatino Linotype" w:hAnsi="Palatino Linotype" w:cs="Arial"/>
        </w:rPr>
        <w:t xml:space="preserve"> en la </w:t>
      </w:r>
      <w:r w:rsidR="00D706F0" w:rsidRPr="00855363">
        <w:rPr>
          <w:rFonts w:ascii="Palatino Linotype" w:hAnsi="Palatino Linotype" w:cs="Arial"/>
        </w:rPr>
        <w:t>C</w:t>
      </w:r>
      <w:r w:rsidR="00A9339A" w:rsidRPr="00855363">
        <w:rPr>
          <w:rFonts w:ascii="Palatino Linotype" w:hAnsi="Palatino Linotype" w:cs="Arial"/>
        </w:rPr>
        <w:t>uadragésima</w:t>
      </w:r>
      <w:r w:rsidR="0027464F">
        <w:rPr>
          <w:rFonts w:ascii="Palatino Linotype" w:hAnsi="Palatino Linotype" w:cs="Arial"/>
        </w:rPr>
        <w:t xml:space="preserve"> </w:t>
      </w:r>
      <w:r w:rsidR="0027464F">
        <w:rPr>
          <w:rFonts w:ascii="Palatino Linotype" w:hAnsi="Palatino Linotype" w:cs="Arial"/>
        </w:rPr>
        <w:lastRenderedPageBreak/>
        <w:t>segunda</w:t>
      </w:r>
      <w:r w:rsidR="007A4E77" w:rsidRPr="00855363">
        <w:rPr>
          <w:rFonts w:ascii="Palatino Linotype" w:hAnsi="Palatino Linotype" w:cs="Arial"/>
        </w:rPr>
        <w:t xml:space="preserve"> </w:t>
      </w:r>
      <w:r w:rsidR="0027464F" w:rsidRPr="00855363">
        <w:rPr>
          <w:rFonts w:ascii="Palatino Linotype" w:hAnsi="Palatino Linotype" w:cs="Arial"/>
        </w:rPr>
        <w:t xml:space="preserve">Sesión Ordinaria </w:t>
      </w:r>
      <w:r w:rsidR="00FC0B18" w:rsidRPr="00855363">
        <w:rPr>
          <w:rFonts w:ascii="Palatino Linotype" w:hAnsi="Palatino Linotype" w:cs="Arial"/>
        </w:rPr>
        <w:t xml:space="preserve">celebrada el </w:t>
      </w:r>
      <w:r w:rsidR="0027464F">
        <w:rPr>
          <w:rFonts w:ascii="Palatino Linotype" w:hAnsi="Palatino Linotype" w:cs="Arial"/>
        </w:rPr>
        <w:t>catorce</w:t>
      </w:r>
      <w:r w:rsidR="007A4E77" w:rsidRPr="00855363">
        <w:rPr>
          <w:rFonts w:ascii="Palatino Linotype" w:hAnsi="Palatino Linotype" w:cs="Arial"/>
        </w:rPr>
        <w:t xml:space="preserve"> (</w:t>
      </w:r>
      <w:r w:rsidR="0027464F">
        <w:rPr>
          <w:rFonts w:ascii="Palatino Linotype" w:hAnsi="Palatino Linotype" w:cs="Arial"/>
        </w:rPr>
        <w:t>14</w:t>
      </w:r>
      <w:r w:rsidR="00A9339A" w:rsidRPr="00855363">
        <w:rPr>
          <w:rFonts w:ascii="Palatino Linotype" w:hAnsi="Palatino Linotype" w:cs="Arial"/>
        </w:rPr>
        <w:t xml:space="preserve">) de </w:t>
      </w:r>
      <w:r w:rsidR="0027464F">
        <w:rPr>
          <w:rFonts w:ascii="Palatino Linotype" w:hAnsi="Palatino Linotype" w:cs="Arial"/>
        </w:rPr>
        <w:t>noviembre</w:t>
      </w:r>
      <w:r w:rsidRPr="00855363">
        <w:rPr>
          <w:rFonts w:ascii="Palatino Linotype" w:hAnsi="Palatino Linotype" w:cs="Arial"/>
        </w:rPr>
        <w:t xml:space="preserve"> de dos mil dieci</w:t>
      </w:r>
      <w:r w:rsidR="004922F1" w:rsidRPr="00855363">
        <w:rPr>
          <w:rFonts w:ascii="Palatino Linotype" w:hAnsi="Palatino Linotype" w:cs="Arial"/>
        </w:rPr>
        <w:t>ocho</w:t>
      </w:r>
      <w:r w:rsidRPr="00855363">
        <w:rPr>
          <w:rFonts w:ascii="Palatino Linotype" w:hAnsi="Palatino Linotype" w:cs="Arial"/>
        </w:rPr>
        <w:t>, en el recurso de revisión promovido por</w:t>
      </w:r>
      <w:r w:rsidR="004922F1" w:rsidRPr="00855363">
        <w:rPr>
          <w:rFonts w:ascii="Palatino Linotype" w:hAnsi="Palatino Linotype" w:cs="Arial"/>
        </w:rPr>
        <w:t xml:space="preserve"> </w:t>
      </w:r>
      <w:r w:rsidR="00E42012" w:rsidRPr="00E42012">
        <w:rPr>
          <w:rFonts w:ascii="Palatino Linotype" w:hAnsi="Palatino Linotype" w:cs="Arial"/>
          <w:b/>
          <w:highlight w:val="black"/>
        </w:rPr>
        <w:t>---------------------------------</w:t>
      </w:r>
      <w:r w:rsidR="00D706F0" w:rsidRPr="00855363">
        <w:rPr>
          <w:rFonts w:ascii="Palatino Linotype" w:hAnsi="Palatino Linotype" w:cs="Arial"/>
        </w:rPr>
        <w:t xml:space="preserve">, en contra de la respuesta del </w:t>
      </w:r>
      <w:r w:rsidR="00D706F0" w:rsidRPr="00855363">
        <w:rPr>
          <w:rFonts w:ascii="Palatino Linotype" w:hAnsi="Palatino Linotype" w:cs="Arial"/>
          <w:b/>
        </w:rPr>
        <w:t>Poder Legislativo</w:t>
      </w:r>
      <w:r w:rsidR="00D706F0" w:rsidRPr="00855363">
        <w:rPr>
          <w:rFonts w:ascii="Palatino Linotype" w:hAnsi="Palatino Linotype" w:cs="Arial"/>
        </w:rPr>
        <w:t>,</w:t>
      </w:r>
      <w:r w:rsidR="00D706F0" w:rsidRPr="00855363">
        <w:rPr>
          <w:rFonts w:ascii="Palatino Linotype" w:hAnsi="Palatino Linotype" w:cs="Arial"/>
          <w:b/>
        </w:rPr>
        <w:t xml:space="preserve"> </w:t>
      </w:r>
      <w:r w:rsidRPr="00855363">
        <w:rPr>
          <w:rFonts w:ascii="Palatino Linotype" w:hAnsi="Palatino Linotype" w:cs="Arial"/>
        </w:rPr>
        <w:t>procedimiento al que se asignó el número de expediente</w:t>
      </w:r>
      <w:r w:rsidR="00A9339A" w:rsidRPr="00855363">
        <w:rPr>
          <w:rFonts w:ascii="Palatino Linotype" w:hAnsi="Palatino Linotype" w:cs="Arial"/>
        </w:rPr>
        <w:t xml:space="preserve"> </w:t>
      </w:r>
      <w:r w:rsidR="0027464F">
        <w:rPr>
          <w:rFonts w:ascii="Palatino Linotype" w:hAnsi="Palatino Linotype" w:cs="Arial"/>
          <w:b/>
        </w:rPr>
        <w:t>03384</w:t>
      </w:r>
      <w:r w:rsidR="00D706F0" w:rsidRPr="00855363">
        <w:rPr>
          <w:rFonts w:ascii="Palatino Linotype" w:hAnsi="Palatino Linotype" w:cs="Arial"/>
          <w:b/>
        </w:rPr>
        <w:t xml:space="preserve">/INFOEM/IP/RR/2018. </w:t>
      </w:r>
    </w:p>
    <w:p w:rsidR="00D706F0" w:rsidRPr="00855363" w:rsidRDefault="00D706F0" w:rsidP="0027464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D706F0" w:rsidRPr="00855363" w:rsidRDefault="00855363"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855363">
        <w:rPr>
          <w:rFonts w:ascii="Palatino Linotype" w:hAnsi="Palatino Linotype" w:cs="Arial"/>
        </w:rPr>
        <w:t>Mi voto disidente</w:t>
      </w:r>
      <w:r w:rsidR="00D706F0" w:rsidRPr="00855363">
        <w:rPr>
          <w:rFonts w:ascii="Palatino Linotype" w:hAnsi="Palatino Linotype" w:cs="Arial"/>
        </w:rPr>
        <w:t xml:space="preserve"> se deriva del hecho de que se h</w:t>
      </w:r>
      <w:r w:rsidRPr="00855363">
        <w:rPr>
          <w:rFonts w:ascii="Palatino Linotype" w:hAnsi="Palatino Linotype" w:cs="Arial"/>
        </w:rPr>
        <w:t xml:space="preserve">aya Confirmado la respuesta otorgada, toda vez que considero que </w:t>
      </w:r>
      <w:r w:rsidR="00104953">
        <w:rPr>
          <w:rFonts w:ascii="Palatino Linotype" w:hAnsi="Palatino Linotype" w:cs="Arial"/>
        </w:rPr>
        <w:t xml:space="preserve">parte de la </w:t>
      </w:r>
      <w:r w:rsidRPr="00855363">
        <w:rPr>
          <w:rFonts w:ascii="Palatino Linotype" w:hAnsi="Palatino Linotype" w:cs="Arial"/>
        </w:rPr>
        <w:t xml:space="preserve">información que </w:t>
      </w:r>
      <w:r w:rsidR="00104953">
        <w:rPr>
          <w:rFonts w:ascii="Palatino Linotype" w:hAnsi="Palatino Linotype" w:cs="Arial"/>
        </w:rPr>
        <w:t xml:space="preserve">se solicitó, es administrada por el </w:t>
      </w:r>
      <w:r w:rsidR="00104953" w:rsidRPr="00104953">
        <w:rPr>
          <w:rFonts w:ascii="Palatino Linotype" w:hAnsi="Palatino Linotype" w:cs="Arial"/>
          <w:b/>
        </w:rPr>
        <w:t>SUJETO OBLIGADO,</w:t>
      </w:r>
      <w:r w:rsidR="00104953">
        <w:rPr>
          <w:rFonts w:ascii="Palatino Linotype" w:hAnsi="Palatino Linotype" w:cs="Arial"/>
        </w:rPr>
        <w:t xml:space="preserve"> por lo que pudo haberse ordenado la entrega de la misma, situación que no ocurrió.</w:t>
      </w:r>
    </w:p>
    <w:p w:rsidR="00C66EC9" w:rsidRPr="00855363" w:rsidRDefault="00C66EC9" w:rsidP="0027464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27464F" w:rsidRDefault="0027464F" w:rsidP="0057406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t xml:space="preserve">A través del estudio realizado dentro de la resolución que al rubro se indica, la Ponencia </w:t>
      </w:r>
      <w:proofErr w:type="spellStart"/>
      <w:r>
        <w:rPr>
          <w:rFonts w:ascii="Palatino Linotype" w:hAnsi="Palatino Linotype" w:cs="Arial"/>
        </w:rPr>
        <w:t>Resolutora</w:t>
      </w:r>
      <w:proofErr w:type="spellEnd"/>
      <w:r>
        <w:rPr>
          <w:rFonts w:ascii="Palatino Linotype" w:hAnsi="Palatino Linotype" w:cs="Arial"/>
        </w:rPr>
        <w:t xml:space="preserve"> determinó que resultaban parcialmente </w:t>
      </w:r>
      <w:r w:rsidRPr="0001046D">
        <w:rPr>
          <w:rFonts w:ascii="Palatino Linotype" w:hAnsi="Palatino Linotype" w:cs="Arial"/>
        </w:rPr>
        <w:t>fundados l</w:t>
      </w:r>
      <w:r>
        <w:rPr>
          <w:rFonts w:ascii="Palatino Linotype" w:hAnsi="Palatino Linotype" w:cs="Arial"/>
        </w:rPr>
        <w:t>as razones o</w:t>
      </w:r>
      <w:r w:rsidRPr="0001046D">
        <w:rPr>
          <w:rFonts w:ascii="Palatino Linotype" w:hAnsi="Palatino Linotype" w:cs="Arial"/>
        </w:rPr>
        <w:t xml:space="preserve"> motivos de inconformidad que </w:t>
      </w:r>
      <w:r>
        <w:rPr>
          <w:rFonts w:ascii="Palatino Linotype" w:hAnsi="Palatino Linotype" w:cs="Arial"/>
        </w:rPr>
        <w:t>arguyó</w:t>
      </w:r>
      <w:r w:rsidRPr="0001046D">
        <w:rPr>
          <w:rFonts w:ascii="Palatino Linotype" w:hAnsi="Palatino Linotype" w:cs="Arial"/>
        </w:rPr>
        <w:t xml:space="preserve"> </w:t>
      </w:r>
      <w:r w:rsidRPr="0001046D">
        <w:rPr>
          <w:rFonts w:ascii="Palatino Linotype" w:hAnsi="Palatino Linotype" w:cs="Arial"/>
          <w:b/>
        </w:rPr>
        <w:t xml:space="preserve">el </w:t>
      </w:r>
      <w:r w:rsidRPr="008E4128">
        <w:rPr>
          <w:rFonts w:ascii="Palatino Linotype" w:hAnsi="Palatino Linotype" w:cs="Arial"/>
          <w:b/>
        </w:rPr>
        <w:t>RECURRENTE</w:t>
      </w:r>
      <w:r w:rsidRPr="0001046D">
        <w:rPr>
          <w:rFonts w:ascii="Palatino Linotype" w:hAnsi="Palatino Linotype" w:cs="Arial"/>
        </w:rPr>
        <w:t xml:space="preserve">, en términos del Considerando </w:t>
      </w:r>
      <w:r>
        <w:rPr>
          <w:rFonts w:ascii="Palatino Linotype" w:hAnsi="Palatino Linotype" w:cs="Arial"/>
        </w:rPr>
        <w:t>C</w:t>
      </w:r>
      <w:r w:rsidRPr="0001046D">
        <w:rPr>
          <w:rFonts w:ascii="Palatino Linotype" w:hAnsi="Palatino Linotype" w:cs="Arial"/>
        </w:rPr>
        <w:t>uarto de la resolución</w:t>
      </w:r>
      <w:r>
        <w:rPr>
          <w:rFonts w:ascii="Palatino Linotype" w:hAnsi="Palatino Linotype" w:cs="Arial"/>
        </w:rPr>
        <w:t>,</w:t>
      </w:r>
      <w:r w:rsidRPr="0001046D">
        <w:rPr>
          <w:rFonts w:ascii="Palatino Linotype" w:hAnsi="Palatino Linotype" w:cs="Arial"/>
        </w:rPr>
        <w:t xml:space="preserve"> por lo que </w:t>
      </w:r>
      <w:r>
        <w:rPr>
          <w:rFonts w:ascii="Palatino Linotype" w:hAnsi="Palatino Linotype" w:cs="Arial"/>
        </w:rPr>
        <w:t>determinó</w:t>
      </w:r>
      <w:r w:rsidRPr="0001046D">
        <w:rPr>
          <w:rFonts w:ascii="Palatino Linotype" w:hAnsi="Palatino Linotype" w:cs="Arial"/>
        </w:rPr>
        <w:t xml:space="preserve"> </w:t>
      </w:r>
      <w:r>
        <w:rPr>
          <w:rFonts w:ascii="Palatino Linotype" w:hAnsi="Palatino Linotype" w:cs="Arial"/>
          <w:b/>
        </w:rPr>
        <w:t>MODIFICAR</w:t>
      </w:r>
      <w:r>
        <w:rPr>
          <w:rFonts w:ascii="Palatino Linotype" w:hAnsi="Palatino Linotype" w:cs="Arial"/>
        </w:rPr>
        <w:t xml:space="preserve"> la respuesta del </w:t>
      </w:r>
      <w:r w:rsidRPr="008E4128">
        <w:rPr>
          <w:rFonts w:ascii="Palatino Linotype" w:hAnsi="Palatino Linotype" w:cs="Arial"/>
          <w:b/>
        </w:rPr>
        <w:t>SUJETO OBLIGADO</w:t>
      </w:r>
      <w:r>
        <w:rPr>
          <w:rFonts w:ascii="Palatino Linotype" w:hAnsi="Palatino Linotype" w:cs="Arial"/>
        </w:rPr>
        <w:t xml:space="preserve">, sin embargo, mi voto particular se deriva del hecho de que, si bien es cierto, la Secretaría de Finanzas es la autoridad </w:t>
      </w:r>
      <w:r w:rsidR="0057406A">
        <w:rPr>
          <w:rFonts w:ascii="Palatino Linotype" w:hAnsi="Palatino Linotype" w:cs="Arial"/>
        </w:rPr>
        <w:t xml:space="preserve">principal para conocer, poseer, generar y administrar la información referente al Programa de Apoyo a la Comunidad, también es cierto que los </w:t>
      </w:r>
      <w:r w:rsidR="0057406A" w:rsidRPr="0057406A">
        <w:rPr>
          <w:rFonts w:ascii="Palatino Linotype" w:hAnsi="Palatino Linotype" w:cs="Arial"/>
        </w:rPr>
        <w:t>Lineamientos para el Ejercicio y Control del Presupuesto Asignado al Programa de Apoyo a la Comunidad</w:t>
      </w:r>
      <w:r w:rsidR="0057406A">
        <w:rPr>
          <w:rFonts w:ascii="Palatino Linotype" w:hAnsi="Palatino Linotype" w:cs="Arial"/>
        </w:rPr>
        <w:t>, considera a los Legisladores como sujetos gestores del programa.</w:t>
      </w:r>
    </w:p>
    <w:p w:rsidR="0027464F" w:rsidRDefault="0027464F" w:rsidP="0027464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rPr>
      </w:pPr>
    </w:p>
    <w:p w:rsidR="00013DED" w:rsidRDefault="0027464F"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Pr>
          <w:rFonts w:ascii="Palatino Linotype" w:hAnsi="Palatino Linotype" w:cs="Arial"/>
        </w:rPr>
        <w:lastRenderedPageBreak/>
        <w:t>P</w:t>
      </w:r>
      <w:r w:rsidR="007B70C2" w:rsidRPr="00855363">
        <w:rPr>
          <w:rFonts w:ascii="Palatino Linotype" w:hAnsi="Palatino Linotype" w:cs="Arial"/>
        </w:rPr>
        <w:t>or</w:t>
      </w:r>
      <w:r w:rsidR="00855363" w:rsidRPr="00855363">
        <w:rPr>
          <w:rFonts w:ascii="Palatino Linotype" w:hAnsi="Palatino Linotype" w:cs="Arial"/>
        </w:rPr>
        <w:t xml:space="preserve"> tal motivo y en términos de lo señalado por los artículos 14 fracción XI del Reglamento Interior del Instituto de Trasparencia y Acceso a la Información Pública del Estado de México y Municipios</w:t>
      </w:r>
      <w:r w:rsidR="0057406A">
        <w:rPr>
          <w:rFonts w:ascii="Palatino Linotype" w:hAnsi="Palatino Linotype" w:cs="Arial"/>
        </w:rPr>
        <w:t>,</w:t>
      </w:r>
      <w:r w:rsidR="00855363" w:rsidRPr="00855363">
        <w:rPr>
          <w:rFonts w:ascii="Palatino Linotype" w:hAnsi="Palatino Linotype" w:cs="Arial"/>
        </w:rPr>
        <w:t xml:space="preserve"> fo</w:t>
      </w:r>
      <w:r w:rsidR="0057406A">
        <w:rPr>
          <w:rFonts w:ascii="Palatino Linotype" w:hAnsi="Palatino Linotype" w:cs="Arial"/>
        </w:rPr>
        <w:t>rmulo el presente voto particular</w:t>
      </w:r>
      <w:r w:rsidR="00855363" w:rsidRPr="00855363">
        <w:rPr>
          <w:rFonts w:ascii="Palatino Linotype" w:hAnsi="Palatino Linotype" w:cs="Arial"/>
        </w:rPr>
        <w:t>.</w:t>
      </w:r>
      <w:bookmarkStart w:id="1" w:name="_Toc518921576"/>
    </w:p>
    <w:p w:rsidR="00104953" w:rsidRPr="00104953" w:rsidRDefault="00104953" w:rsidP="0010495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7B70C2" w:rsidRPr="00013DED" w:rsidRDefault="00013DED" w:rsidP="00013DED">
      <w:pPr>
        <w:pStyle w:val="Ttulo1"/>
        <w:numPr>
          <w:ilvl w:val="0"/>
          <w:numId w:val="0"/>
        </w:numPr>
      </w:pPr>
      <w:bookmarkStart w:id="2" w:name="_Toc530502031"/>
      <w:r w:rsidRPr="00013DED">
        <w:t>II</w:t>
      </w:r>
      <w:r w:rsidR="00D37C48" w:rsidRPr="00013DED">
        <w:t>.</w:t>
      </w:r>
      <w:r w:rsidR="007B70C2" w:rsidRPr="00013DED">
        <w:t xml:space="preserve"> </w:t>
      </w:r>
      <w:r w:rsidR="00FC0B18" w:rsidRPr="00013DED">
        <w:t>De los Requerimientos</w:t>
      </w:r>
      <w:bookmarkEnd w:id="1"/>
      <w:r w:rsidRPr="00013DED">
        <w:t xml:space="preserve"> planteados en el recurso de revisión.</w:t>
      </w:r>
      <w:bookmarkEnd w:id="2"/>
      <w:r w:rsidRPr="00013DED">
        <w:t xml:space="preserve"> </w:t>
      </w:r>
    </w:p>
    <w:p w:rsidR="00013DED" w:rsidRPr="00013DED" w:rsidRDefault="00013DED" w:rsidP="00013DED">
      <w:pPr>
        <w:rPr>
          <w:lang w:val="es-ES"/>
        </w:rPr>
      </w:pPr>
    </w:p>
    <w:p w:rsidR="007B70C2" w:rsidRPr="00855363" w:rsidRDefault="007B70C2" w:rsidP="007B70C2">
      <w:pPr>
        <w:spacing w:line="276" w:lineRule="auto"/>
        <w:jc w:val="both"/>
        <w:rPr>
          <w:rFonts w:ascii="Palatino Linotype" w:hAnsi="Palatino Linotype" w:cs="Arial"/>
          <w:color w:val="000000" w:themeColor="text1"/>
          <w:lang w:val="es-ES"/>
        </w:rPr>
      </w:pPr>
    </w:p>
    <w:p w:rsidR="00383710" w:rsidRPr="00855363" w:rsidRDefault="000F1159" w:rsidP="0027464F">
      <w:pPr>
        <w:pStyle w:val="Prrafodelista"/>
        <w:numPr>
          <w:ilvl w:val="0"/>
          <w:numId w:val="9"/>
        </w:numPr>
        <w:tabs>
          <w:tab w:val="left" w:pos="426"/>
        </w:tabs>
        <w:spacing w:line="360" w:lineRule="auto"/>
        <w:ind w:left="0" w:firstLine="0"/>
        <w:jc w:val="both"/>
        <w:rPr>
          <w:rFonts w:ascii="Palatino Linotype" w:hAnsi="Palatino Linotype" w:cs="Arial"/>
          <w:color w:val="000000" w:themeColor="text1"/>
        </w:rPr>
      </w:pPr>
      <w:r w:rsidRPr="00855363">
        <w:rPr>
          <w:rFonts w:ascii="Palatino Linotype" w:hAnsi="Palatino Linotype" w:cs="Arial"/>
        </w:rPr>
        <w:t xml:space="preserve">Primeramente debemos partir del hecho </w:t>
      </w:r>
      <w:r w:rsidR="00C85784" w:rsidRPr="00855363">
        <w:rPr>
          <w:rFonts w:ascii="Palatino Linotype" w:hAnsi="Palatino Linotype" w:cs="Arial"/>
        </w:rPr>
        <w:t xml:space="preserve">de </w:t>
      </w:r>
      <w:r w:rsidR="00013DED">
        <w:rPr>
          <w:rFonts w:ascii="Palatino Linotype" w:hAnsi="Palatino Linotype" w:cs="Arial"/>
        </w:rPr>
        <w:t xml:space="preserve">que </w:t>
      </w:r>
      <w:r w:rsidR="0057406A">
        <w:rPr>
          <w:rFonts w:ascii="Palatino Linotype" w:hAnsi="Palatino Linotype" w:cs="Arial"/>
        </w:rPr>
        <w:t>el</w:t>
      </w:r>
      <w:r w:rsidR="00D62A37">
        <w:rPr>
          <w:rFonts w:ascii="Palatino Linotype" w:hAnsi="Palatino Linotype" w:cs="Arial"/>
        </w:rPr>
        <w:t xml:space="preserve"> particular está interesad</w:t>
      </w:r>
      <w:r w:rsidR="0057406A">
        <w:rPr>
          <w:rFonts w:ascii="Palatino Linotype" w:hAnsi="Palatino Linotype" w:cs="Arial"/>
        </w:rPr>
        <w:t>o</w:t>
      </w:r>
      <w:r w:rsidRPr="00855363">
        <w:rPr>
          <w:rFonts w:ascii="Palatino Linotype" w:hAnsi="Palatino Linotype" w:cs="Arial"/>
        </w:rPr>
        <w:t xml:space="preserve"> en acceder</w:t>
      </w:r>
      <w:r w:rsidR="00A9339A" w:rsidRPr="00855363">
        <w:rPr>
          <w:rFonts w:ascii="Palatino Linotype" w:hAnsi="Palatino Linotype" w:cs="Arial"/>
        </w:rPr>
        <w:t xml:space="preserve"> </w:t>
      </w:r>
      <w:r w:rsidR="00855363" w:rsidRPr="00855363">
        <w:rPr>
          <w:rFonts w:ascii="Palatino Linotype" w:hAnsi="Palatino Linotype" w:cs="Arial"/>
        </w:rPr>
        <w:t xml:space="preserve">del periodo </w:t>
      </w:r>
      <w:r w:rsidR="00A9339A" w:rsidRPr="00855363">
        <w:rPr>
          <w:rFonts w:ascii="Palatino Linotype" w:hAnsi="Palatino Linotype" w:cs="Arial"/>
        </w:rPr>
        <w:t xml:space="preserve">corresponde a la LIX Legislatura </w:t>
      </w:r>
      <w:r w:rsidR="00D62A37">
        <w:rPr>
          <w:rFonts w:ascii="Palatino Linotype" w:hAnsi="Palatino Linotype" w:cs="Arial"/>
        </w:rPr>
        <w:t xml:space="preserve">o sea de los años </w:t>
      </w:r>
      <w:r w:rsidR="0023309F">
        <w:rPr>
          <w:rFonts w:ascii="Palatino Linotype" w:hAnsi="Palatino Linotype" w:cs="Arial"/>
        </w:rPr>
        <w:t>2015 a 2018</w:t>
      </w:r>
      <w:r w:rsidR="00383710" w:rsidRPr="00855363">
        <w:rPr>
          <w:rFonts w:ascii="Palatino Linotype" w:hAnsi="Palatino Linotype" w:cs="Arial"/>
          <w:color w:val="000000" w:themeColor="text1"/>
        </w:rPr>
        <w:t xml:space="preserve">, </w:t>
      </w:r>
      <w:r w:rsidR="00855363" w:rsidRPr="00855363">
        <w:rPr>
          <w:rFonts w:ascii="Palatino Linotype" w:hAnsi="Palatino Linotype" w:cs="Arial"/>
          <w:color w:val="000000" w:themeColor="text1"/>
        </w:rPr>
        <w:t xml:space="preserve">a </w:t>
      </w:r>
      <w:r w:rsidR="00383710" w:rsidRPr="00855363">
        <w:rPr>
          <w:rFonts w:ascii="Palatino Linotype" w:hAnsi="Palatino Linotype" w:cs="Arial"/>
          <w:color w:val="000000" w:themeColor="text1"/>
        </w:rPr>
        <w:t>lo siguiente:</w:t>
      </w:r>
    </w:p>
    <w:p w:rsidR="0057406A" w:rsidRDefault="0057406A" w:rsidP="0057406A">
      <w:pPr>
        <w:pStyle w:val="Sinespaciado"/>
        <w:ind w:left="851" w:right="567"/>
        <w:jc w:val="both"/>
        <w:rPr>
          <w:rFonts w:ascii="Palatino Linotype" w:hAnsi="Palatino Linotype"/>
        </w:rPr>
      </w:pPr>
      <w:r w:rsidRPr="0057406A">
        <w:rPr>
          <w:rFonts w:ascii="Palatino Linotype" w:hAnsi="Palatino Linotype"/>
          <w:i/>
        </w:rPr>
        <w:t xml:space="preserve">“solicito cantidad anual de los años 2015, 2016, 2017 y 2018 que ha recibido los diputados Juan Zepeda Hernández, Anuar Roberto Azar Figueroa por concepto de seguro de vida, seguro de gastos médicos en cualquier modalidad, sueldo, sobre sueldo, gratificaciones, bonos, compensaciones, estímulos, primas vacacionales, aguinaldos, </w:t>
      </w:r>
      <w:r w:rsidRPr="0057406A">
        <w:rPr>
          <w:rFonts w:ascii="Palatino Linotype" w:hAnsi="Palatino Linotype"/>
          <w:b/>
          <w:i/>
        </w:rPr>
        <w:t>ingresos por el programa de apoyo a la comunidad</w:t>
      </w:r>
      <w:r w:rsidRPr="0057406A">
        <w:rPr>
          <w:rFonts w:ascii="Palatino Linotype" w:hAnsi="Palatino Linotype"/>
          <w:i/>
        </w:rPr>
        <w:t xml:space="preserve">, vehículos, telefonía celular, alimentos, gasolina, viáticos, gastos de representación, casetas, autopistas, equipo de seguridad, y cualquier otro apoyo ingreso adicional a su sueldo bajo cualquier nombre o concepto. </w:t>
      </w:r>
      <w:proofErr w:type="gramStart"/>
      <w:r w:rsidRPr="0057406A">
        <w:rPr>
          <w:rFonts w:ascii="Palatino Linotype" w:hAnsi="Palatino Linotype"/>
          <w:i/>
        </w:rPr>
        <w:t>así</w:t>
      </w:r>
      <w:proofErr w:type="gramEnd"/>
      <w:r w:rsidRPr="0057406A">
        <w:rPr>
          <w:rFonts w:ascii="Palatino Linotype" w:hAnsi="Palatino Linotype"/>
          <w:i/>
        </w:rPr>
        <w:t xml:space="preserve"> como los documentos probatorios de lo requerido en esta solicitud.” </w:t>
      </w:r>
      <w:r w:rsidRPr="0057406A">
        <w:rPr>
          <w:rFonts w:ascii="Palatino Linotype" w:hAnsi="Palatino Linotype"/>
        </w:rPr>
        <w:t>(</w:t>
      </w:r>
      <w:r>
        <w:rPr>
          <w:rFonts w:ascii="Palatino Linotype" w:hAnsi="Palatino Linotype"/>
        </w:rPr>
        <w:t>S</w:t>
      </w:r>
      <w:r w:rsidRPr="0057406A">
        <w:rPr>
          <w:rFonts w:ascii="Palatino Linotype" w:hAnsi="Palatino Linotype"/>
        </w:rPr>
        <w:t>ic)</w:t>
      </w:r>
      <w:r>
        <w:rPr>
          <w:rFonts w:ascii="Palatino Linotype" w:hAnsi="Palatino Linotype"/>
        </w:rPr>
        <w:t>.</w:t>
      </w:r>
    </w:p>
    <w:p w:rsidR="0057406A" w:rsidRPr="0057406A" w:rsidRDefault="0057406A" w:rsidP="0057406A">
      <w:pPr>
        <w:pStyle w:val="Sinespaciado"/>
        <w:ind w:left="851" w:right="567"/>
        <w:jc w:val="both"/>
        <w:rPr>
          <w:rFonts w:ascii="Palatino Linotype" w:hAnsi="Palatino Linotype"/>
        </w:rPr>
      </w:pPr>
      <w:r>
        <w:rPr>
          <w:rFonts w:ascii="Palatino Linotype" w:hAnsi="Palatino Linotype"/>
        </w:rPr>
        <w:t>(Énfasis añadido)</w:t>
      </w:r>
    </w:p>
    <w:p w:rsidR="00A9339A" w:rsidRPr="00855363" w:rsidRDefault="00A9339A" w:rsidP="00A9339A">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contextualSpacing w:val="0"/>
        <w:jc w:val="both"/>
        <w:rPr>
          <w:rFonts w:ascii="Palatino Linotype" w:hAnsi="Palatino Linotype" w:cs="Arial"/>
          <w:color w:val="000000" w:themeColor="text1"/>
        </w:rPr>
      </w:pPr>
    </w:p>
    <w:p w:rsidR="00104953" w:rsidRDefault="00674DAE" w:rsidP="0057406A">
      <w:pPr>
        <w:pStyle w:val="Prrafodelista"/>
        <w:numPr>
          <w:ilvl w:val="0"/>
          <w:numId w:val="9"/>
        </w:numPr>
        <w:tabs>
          <w:tab w:val="left" w:pos="426"/>
        </w:tabs>
        <w:spacing w:before="240" w:after="240" w:line="360" w:lineRule="auto"/>
        <w:jc w:val="both"/>
        <w:rPr>
          <w:rFonts w:ascii="Palatino Linotype" w:eastAsia="Times New Roman" w:hAnsi="Palatino Linotype" w:cs="Arial"/>
          <w:i/>
          <w:bdr w:val="none" w:sz="0" w:space="0" w:color="auto"/>
          <w:lang w:val="es-ES" w:eastAsia="es-ES"/>
        </w:rPr>
      </w:pPr>
      <w:r w:rsidRPr="00104953">
        <w:rPr>
          <w:rFonts w:ascii="Palatino Linotype" w:hAnsi="Palatino Linotype" w:cs="Arial"/>
          <w:color w:val="000000" w:themeColor="text1"/>
          <w:lang w:val="es-ES"/>
        </w:rPr>
        <w:t>En este sentido, el Comisionado Ponente en la resolución</w:t>
      </w:r>
      <w:r w:rsidR="008A4832" w:rsidRPr="00104953">
        <w:rPr>
          <w:rFonts w:ascii="Palatino Linotype" w:hAnsi="Palatino Linotype" w:cs="Arial"/>
          <w:color w:val="000000" w:themeColor="text1"/>
          <w:lang w:val="es-ES"/>
        </w:rPr>
        <w:t xml:space="preserve">, </w:t>
      </w:r>
      <w:r w:rsidR="00104953" w:rsidRPr="00104953">
        <w:rPr>
          <w:rFonts w:ascii="Palatino Linotype" w:hAnsi="Palatino Linotype" w:cs="Arial"/>
          <w:color w:val="000000" w:themeColor="text1"/>
          <w:lang w:val="es-ES"/>
        </w:rPr>
        <w:t xml:space="preserve">señaló que a </w:t>
      </w:r>
      <w:r w:rsidR="009609CD" w:rsidRPr="00104953">
        <w:rPr>
          <w:rFonts w:ascii="Palatino Linotype" w:hAnsi="Palatino Linotype" w:cs="Arial"/>
          <w:color w:val="000000" w:themeColor="text1"/>
          <w:lang w:val="es-ES"/>
        </w:rPr>
        <w:t>su consideración</w:t>
      </w:r>
      <w:r w:rsidR="00104953" w:rsidRPr="00104953">
        <w:rPr>
          <w:rFonts w:ascii="Palatino Linotype" w:hAnsi="Palatino Linotype" w:cs="Arial"/>
          <w:color w:val="000000" w:themeColor="text1"/>
          <w:lang w:val="es-ES"/>
        </w:rPr>
        <w:t xml:space="preserve">: </w:t>
      </w:r>
      <w:r w:rsidR="001D3A51" w:rsidRPr="00104953">
        <w:rPr>
          <w:rFonts w:ascii="Palatino Linotype" w:hAnsi="Palatino Linotype" w:cs="Arial"/>
          <w:color w:val="000000" w:themeColor="text1"/>
          <w:lang w:val="es-ES"/>
        </w:rPr>
        <w:t>“</w:t>
      </w:r>
      <w:r w:rsidR="0057406A">
        <w:rPr>
          <w:rFonts w:ascii="Palatino Linotype" w:hAnsi="Palatino Linotype" w:cs="Arial"/>
          <w:color w:val="000000" w:themeColor="text1"/>
          <w:lang w:val="es-ES"/>
        </w:rPr>
        <w:t xml:space="preserve">(…) </w:t>
      </w:r>
      <w:r w:rsidR="0057406A" w:rsidRPr="0057406A">
        <w:rPr>
          <w:rFonts w:ascii="Palatino Linotype" w:eastAsia="Times New Roman" w:hAnsi="Palatino Linotype" w:cs="Arial"/>
          <w:i/>
          <w:bdr w:val="none" w:sz="0" w:space="0" w:color="auto"/>
          <w:lang w:val="es-ES" w:eastAsia="es-ES"/>
        </w:rPr>
        <w:t xml:space="preserve">por cuanto hace a lo requerido y señalado en los numerales 1 y 2 de la presente resolución, se tiene que mediante el escrito contenido en el archivo electrónico “Solicitud 381-1.PDF”, manifestó que los entonces diputados materia de la solicitud, no reciben ningún tipo de recurso por esos conceptos, ya que al ser integrantes </w:t>
      </w:r>
      <w:r w:rsidR="0057406A" w:rsidRPr="0057406A">
        <w:rPr>
          <w:rFonts w:ascii="Palatino Linotype" w:eastAsia="Times New Roman" w:hAnsi="Palatino Linotype" w:cs="Arial"/>
          <w:i/>
          <w:bdr w:val="none" w:sz="0" w:space="0" w:color="auto"/>
          <w:lang w:val="es-ES" w:eastAsia="es-ES"/>
        </w:rPr>
        <w:lastRenderedPageBreak/>
        <w:t>de la Legislatura disponen de pólizas grupales con cobertura por los mismos, por lo que se considera un hecho negativo</w:t>
      </w:r>
      <w:r w:rsidR="0057406A">
        <w:rPr>
          <w:rFonts w:ascii="Palatino Linotype" w:eastAsia="Times New Roman" w:hAnsi="Palatino Linotype" w:cs="Arial"/>
          <w:i/>
          <w:bdr w:val="none" w:sz="0" w:space="0" w:color="auto"/>
          <w:lang w:val="es-ES" w:eastAsia="es-ES"/>
        </w:rPr>
        <w:t xml:space="preserve"> (…)</w:t>
      </w:r>
      <w:r w:rsidR="00CE2F07" w:rsidRPr="00104953">
        <w:rPr>
          <w:rFonts w:ascii="Palatino Linotype" w:eastAsia="Times New Roman" w:hAnsi="Palatino Linotype" w:cs="Arial"/>
          <w:i/>
          <w:bdr w:val="none" w:sz="0" w:space="0" w:color="auto"/>
          <w:lang w:val="es-ES" w:eastAsia="es-ES"/>
        </w:rPr>
        <w:t>” (Sic)</w:t>
      </w:r>
    </w:p>
    <w:p w:rsidR="00104953" w:rsidRDefault="00104953" w:rsidP="00104953">
      <w:pPr>
        <w:pStyle w:val="Prrafodelista"/>
        <w:spacing w:before="240" w:after="240" w:line="360" w:lineRule="auto"/>
        <w:ind w:left="66"/>
        <w:jc w:val="both"/>
        <w:rPr>
          <w:rFonts w:ascii="Palatino Linotype" w:eastAsia="Times New Roman" w:hAnsi="Palatino Linotype" w:cs="Arial"/>
          <w:i/>
          <w:bdr w:val="none" w:sz="0" w:space="0" w:color="auto"/>
          <w:lang w:val="es-ES" w:eastAsia="es-ES"/>
        </w:rPr>
      </w:pPr>
    </w:p>
    <w:p w:rsidR="001E6661" w:rsidRDefault="009609CD" w:rsidP="0057406A">
      <w:pPr>
        <w:pStyle w:val="Prrafodelista"/>
        <w:numPr>
          <w:ilvl w:val="0"/>
          <w:numId w:val="9"/>
        </w:numPr>
        <w:tabs>
          <w:tab w:val="left" w:pos="426"/>
        </w:tabs>
        <w:spacing w:before="240" w:after="240" w:line="360" w:lineRule="auto"/>
        <w:jc w:val="both"/>
        <w:rPr>
          <w:rFonts w:ascii="Palatino Linotype" w:eastAsia="Times New Roman" w:hAnsi="Palatino Linotype" w:cs="Arial"/>
          <w:i/>
          <w:bdr w:val="none" w:sz="0" w:space="0" w:color="auto"/>
          <w:lang w:val="es-ES" w:eastAsia="es-ES"/>
        </w:rPr>
      </w:pPr>
      <w:r w:rsidRPr="00104953">
        <w:rPr>
          <w:rFonts w:ascii="Palatino Linotype" w:hAnsi="Palatino Linotype"/>
          <w:lang w:eastAsia="es-MX"/>
        </w:rPr>
        <w:t xml:space="preserve">Aunado a lo anterior la Ponencia que resolvió el recurso de revisión también argumentó que </w:t>
      </w:r>
      <w:r w:rsidRPr="00104953">
        <w:rPr>
          <w:rFonts w:ascii="Palatino Linotype" w:hAnsi="Palatino Linotype"/>
          <w:i/>
          <w:color w:val="000000" w:themeColor="text1"/>
          <w:lang w:eastAsia="es-MX"/>
        </w:rPr>
        <w:t>“</w:t>
      </w:r>
      <w:r w:rsidR="0057406A">
        <w:rPr>
          <w:rFonts w:ascii="Palatino Linotype" w:hAnsi="Palatino Linotype"/>
          <w:i/>
          <w:color w:val="000000" w:themeColor="text1"/>
          <w:lang w:eastAsia="es-MX"/>
        </w:rPr>
        <w:t>(…)</w:t>
      </w:r>
      <w:r w:rsidR="00E15808">
        <w:rPr>
          <w:rFonts w:ascii="Palatino Linotype" w:hAnsi="Palatino Linotype"/>
          <w:i/>
          <w:color w:val="000000" w:themeColor="text1"/>
          <w:lang w:eastAsia="es-MX"/>
        </w:rPr>
        <w:t xml:space="preserve"> </w:t>
      </w:r>
      <w:r w:rsidR="00E15808" w:rsidRPr="00E15808">
        <w:rPr>
          <w:rFonts w:ascii="Palatino Linotype" w:hAnsi="Palatino Linotype"/>
          <w:i/>
        </w:rPr>
        <w:t xml:space="preserve">si bien los Legisladores que integran al Sujeto Obligado, tienen injerencia en el Programa de Apoyo a la Comunidad, ello solo es para la gestión de las necesidades o peticiones de las comunidades respectivas, sin embargo, es indudable que la Secretaria de Finanzas al ser la dependencia encargada de la planeación, programación, </w:t>
      </w:r>
      <w:proofErr w:type="spellStart"/>
      <w:r w:rsidR="00E15808" w:rsidRPr="00E15808">
        <w:rPr>
          <w:rFonts w:ascii="Palatino Linotype" w:hAnsi="Palatino Linotype"/>
          <w:i/>
        </w:rPr>
        <w:t>presupuestación</w:t>
      </w:r>
      <w:proofErr w:type="spellEnd"/>
      <w:r w:rsidR="00E15808" w:rsidRPr="00E15808">
        <w:rPr>
          <w:rFonts w:ascii="Palatino Linotype" w:hAnsi="Palatino Linotype"/>
          <w:i/>
        </w:rPr>
        <w:t xml:space="preserve"> y evaluación de las actividades del Poder Ejecutivo, de la administración financiera y tributaria de la hacienda pública del Estado, de acuerdo con el artículo 23 de la Ley Orgánica de la Administración Pública del Estado de México; invariablemente debe conocer sobre el detalle del manejo que se le haya dado a los recursos destinados al Programa; máxime si como se ha dicho, dentro de su Subsecretaria de Administración cuenta con una Coordinación especial para dicho Programa</w:t>
      </w:r>
      <w:r w:rsidR="00E15808">
        <w:rPr>
          <w:rFonts w:ascii="Palatino Linotype" w:hAnsi="Palatino Linotype"/>
        </w:rPr>
        <w:t>.</w:t>
      </w:r>
      <w:r w:rsidR="008A4832" w:rsidRPr="00104953">
        <w:rPr>
          <w:rFonts w:ascii="Palatino Linotype" w:eastAsia="Times New Roman" w:hAnsi="Palatino Linotype" w:cs="Arial"/>
          <w:i/>
          <w:bdr w:val="none" w:sz="0" w:space="0" w:color="auto"/>
          <w:lang w:val="es-ES" w:eastAsia="es-ES"/>
        </w:rPr>
        <w:t>” (Sic)</w:t>
      </w:r>
    </w:p>
    <w:p w:rsidR="0057406A" w:rsidRPr="00104953" w:rsidRDefault="0057406A" w:rsidP="0057406A">
      <w:pPr>
        <w:pStyle w:val="Prrafodelista"/>
        <w:tabs>
          <w:tab w:val="left" w:pos="426"/>
        </w:tabs>
        <w:spacing w:before="240" w:after="240" w:line="360" w:lineRule="auto"/>
        <w:ind w:left="426"/>
        <w:jc w:val="both"/>
        <w:rPr>
          <w:rFonts w:ascii="Palatino Linotype" w:eastAsia="Times New Roman" w:hAnsi="Palatino Linotype" w:cs="Arial"/>
          <w:i/>
          <w:bdr w:val="none" w:sz="0" w:space="0" w:color="auto"/>
          <w:lang w:val="es-ES" w:eastAsia="es-ES"/>
        </w:rPr>
      </w:pPr>
    </w:p>
    <w:p w:rsidR="00525344" w:rsidRPr="00104953" w:rsidRDefault="00E15808" w:rsidP="0027464F">
      <w:pPr>
        <w:pStyle w:val="Sinespaciado"/>
        <w:numPr>
          <w:ilvl w:val="0"/>
          <w:numId w:val="9"/>
        </w:numPr>
        <w:tabs>
          <w:tab w:val="left" w:pos="426"/>
        </w:tabs>
        <w:spacing w:line="360" w:lineRule="auto"/>
        <w:ind w:left="0" w:right="49" w:firstLine="0"/>
        <w:jc w:val="both"/>
        <w:rPr>
          <w:rFonts w:ascii="Palatino Linotype" w:hAnsi="Palatino Linotype" w:cs="Arial"/>
          <w:sz w:val="24"/>
          <w:szCs w:val="24"/>
        </w:rPr>
      </w:pPr>
      <w:r>
        <w:rPr>
          <w:rFonts w:ascii="Palatino Linotype" w:hAnsi="Palatino Linotype" w:cs="Arial"/>
          <w:sz w:val="24"/>
          <w:szCs w:val="24"/>
        </w:rPr>
        <w:t>Siendo este último razonamiento lógico jurídico del cual me separo en atención a las siguientes consideraciones:</w:t>
      </w:r>
    </w:p>
    <w:p w:rsidR="00674DAE" w:rsidRPr="00013DED" w:rsidRDefault="00674DAE" w:rsidP="00013DED">
      <w:pPr>
        <w:pStyle w:val="Ttulo1"/>
        <w:numPr>
          <w:ilvl w:val="0"/>
          <w:numId w:val="0"/>
        </w:numPr>
      </w:pPr>
      <w:bookmarkStart w:id="3" w:name="_Toc489895165"/>
      <w:bookmarkStart w:id="4" w:name="_Toc518921577"/>
      <w:bookmarkStart w:id="5" w:name="_Toc530502032"/>
      <w:r w:rsidRPr="00013DED">
        <w:t>II</w:t>
      </w:r>
      <w:r w:rsidR="00013DED" w:rsidRPr="00013DED">
        <w:t>I</w:t>
      </w:r>
      <w:r w:rsidRPr="00013DED">
        <w:t>. Del estudio</w:t>
      </w:r>
      <w:bookmarkEnd w:id="3"/>
      <w:bookmarkEnd w:id="4"/>
      <w:r w:rsidR="00013DED" w:rsidRPr="00013DED">
        <w:t xml:space="preserve"> y análisis</w:t>
      </w:r>
      <w:bookmarkEnd w:id="5"/>
      <w:r w:rsidR="00013DED" w:rsidRPr="00013DED">
        <w:t xml:space="preserve"> </w:t>
      </w:r>
    </w:p>
    <w:p w:rsidR="00674DAE" w:rsidRPr="00855363" w:rsidRDefault="00674DAE" w:rsidP="00674DAE">
      <w:pPr>
        <w:spacing w:line="360" w:lineRule="auto"/>
        <w:contextualSpacing/>
        <w:jc w:val="both"/>
        <w:rPr>
          <w:rFonts w:ascii="Palatino Linotype" w:hAnsi="Palatino Linotype" w:cs="Arial"/>
          <w:b/>
          <w:color w:val="000000" w:themeColor="text1"/>
          <w:lang w:val="es-ES"/>
        </w:rPr>
      </w:pPr>
    </w:p>
    <w:p w:rsidR="00AE4D44" w:rsidRPr="00E15808" w:rsidRDefault="0023309F" w:rsidP="00D7440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contextualSpacing/>
        <w:jc w:val="both"/>
        <w:rPr>
          <w:rFonts w:ascii="Palatino Linotype" w:hAnsi="Palatino Linotype" w:cs="Arial"/>
          <w:b/>
        </w:rPr>
      </w:pPr>
      <w:r w:rsidRPr="00E15808">
        <w:rPr>
          <w:rFonts w:ascii="Palatino Linotype" w:hAnsi="Palatino Linotype" w:cs="Arial"/>
        </w:rPr>
        <w:t>E</w:t>
      </w:r>
      <w:r w:rsidR="00E81A0F" w:rsidRPr="00E15808">
        <w:rPr>
          <w:rFonts w:ascii="Palatino Linotype" w:hAnsi="Palatino Linotype" w:cs="Arial"/>
        </w:rPr>
        <w:t xml:space="preserve">n el presente asunto el </w:t>
      </w:r>
      <w:r w:rsidR="00E81A0F" w:rsidRPr="00E15808">
        <w:rPr>
          <w:rFonts w:ascii="Palatino Linotype" w:hAnsi="Palatino Linotype" w:cs="Arial"/>
          <w:b/>
        </w:rPr>
        <w:t>SUJETO OBLIGADO</w:t>
      </w:r>
      <w:r w:rsidR="00E81A0F" w:rsidRPr="00E15808">
        <w:rPr>
          <w:rFonts w:ascii="Palatino Linotype" w:hAnsi="Palatino Linotype" w:cs="Arial"/>
        </w:rPr>
        <w:t xml:space="preserve"> decidió r</w:t>
      </w:r>
      <w:r w:rsidR="00B81FB4" w:rsidRPr="00E15808">
        <w:rPr>
          <w:rFonts w:ascii="Palatino Linotype" w:hAnsi="Palatino Linotype" w:cs="Arial"/>
        </w:rPr>
        <w:t xml:space="preserve">estringir el derecho de acceso a la información pública negando el acceso al documento requerido argumentando que </w:t>
      </w:r>
      <w:r w:rsidR="00B81FB4" w:rsidRPr="00E15808">
        <w:rPr>
          <w:rFonts w:ascii="Palatino Linotype" w:eastAsia="Calibri" w:hAnsi="Palatino Linotype"/>
          <w:i/>
        </w:rPr>
        <w:t>“</w:t>
      </w:r>
      <w:r w:rsidR="00E15808" w:rsidRPr="00E15808">
        <w:rPr>
          <w:rFonts w:ascii="Palatino Linotype" w:eastAsia="Calibri" w:hAnsi="Palatino Linotype"/>
          <w:i/>
        </w:rPr>
        <w:t xml:space="preserve">(…) respecto al punto donde solicita </w:t>
      </w:r>
      <w:r w:rsidR="00E15808" w:rsidRPr="00E15808">
        <w:rPr>
          <w:rFonts w:ascii="Palatino Linotype" w:eastAsia="Calibri" w:hAnsi="Palatino Linotype"/>
          <w:b/>
          <w:i/>
        </w:rPr>
        <w:t xml:space="preserve">“ingresos por el programa de </w:t>
      </w:r>
      <w:r w:rsidR="00E15808" w:rsidRPr="00E15808">
        <w:rPr>
          <w:rFonts w:ascii="Palatino Linotype" w:eastAsia="Calibri" w:hAnsi="Palatino Linotype"/>
          <w:b/>
          <w:i/>
        </w:rPr>
        <w:lastRenderedPageBreak/>
        <w:t>apoyo a la comunidad”</w:t>
      </w:r>
      <w:r w:rsidR="00E15808" w:rsidRPr="00E15808">
        <w:rPr>
          <w:rFonts w:ascii="Palatino Linotype" w:eastAsia="Calibri" w:hAnsi="Palatino Linotype"/>
          <w:i/>
        </w:rPr>
        <w:t xml:space="preserve"> –énfasis agregado-,</w:t>
      </w:r>
      <w:r w:rsidR="00E15808">
        <w:rPr>
          <w:rFonts w:ascii="Palatino Linotype" w:eastAsia="Calibri" w:hAnsi="Palatino Linotype"/>
          <w:i/>
        </w:rPr>
        <w:t>me permito i</w:t>
      </w:r>
      <w:r w:rsidR="00CB0917" w:rsidRPr="00E15808">
        <w:rPr>
          <w:rFonts w:ascii="Palatino Linotype" w:eastAsia="Calibri" w:hAnsi="Palatino Linotype"/>
          <w:i/>
        </w:rPr>
        <w:t>nformarle que</w:t>
      </w:r>
      <w:r w:rsidR="00CB0917" w:rsidRPr="00E15808">
        <w:rPr>
          <w:rFonts w:ascii="Palatino Linotype" w:hAnsi="Palatino Linotype"/>
          <w:i/>
          <w:color w:val="000000"/>
        </w:rPr>
        <w:t xml:space="preserve"> </w:t>
      </w:r>
      <w:r w:rsidR="00AE4D44" w:rsidRPr="00E15808">
        <w:rPr>
          <w:rFonts w:ascii="Palatino Linotype" w:hAnsi="Palatino Linotype"/>
          <w:i/>
          <w:color w:val="000000"/>
          <w:u w:val="single"/>
        </w:rPr>
        <w:t xml:space="preserve">los datos solicitados no corresponden a la información </w:t>
      </w:r>
      <w:r w:rsidR="00AE4D44" w:rsidRPr="00E15808">
        <w:rPr>
          <w:rFonts w:ascii="Palatino Linotype" w:hAnsi="Palatino Linotype"/>
          <w:b/>
          <w:i/>
          <w:color w:val="000000"/>
          <w:u w:val="single"/>
        </w:rPr>
        <w:t>generada</w:t>
      </w:r>
      <w:r w:rsidR="00CB0917" w:rsidRPr="00E15808">
        <w:rPr>
          <w:rFonts w:ascii="Palatino Linotype" w:hAnsi="Palatino Linotype"/>
          <w:i/>
          <w:color w:val="000000"/>
          <w:u w:val="single"/>
        </w:rPr>
        <w:t xml:space="preserve"> o</w:t>
      </w:r>
      <w:r w:rsidR="00AE4D44" w:rsidRPr="00E15808">
        <w:rPr>
          <w:rFonts w:ascii="Palatino Linotype" w:hAnsi="Palatino Linotype"/>
          <w:i/>
          <w:color w:val="000000"/>
          <w:u w:val="single"/>
        </w:rPr>
        <w:t xml:space="preserve"> contenida por es</w:t>
      </w:r>
      <w:r w:rsidR="00CB0917" w:rsidRPr="00E15808">
        <w:rPr>
          <w:rFonts w:ascii="Palatino Linotype" w:hAnsi="Palatino Linotype"/>
          <w:i/>
          <w:color w:val="000000"/>
          <w:u w:val="single"/>
        </w:rPr>
        <w:t>te sujeto o</w:t>
      </w:r>
      <w:r w:rsidR="00AE4D44" w:rsidRPr="00E15808">
        <w:rPr>
          <w:rFonts w:ascii="Palatino Linotype" w:hAnsi="Palatino Linotype"/>
          <w:i/>
          <w:color w:val="000000"/>
          <w:u w:val="single"/>
        </w:rPr>
        <w:t>bligado</w:t>
      </w:r>
      <w:r w:rsidR="00AE4D44" w:rsidRPr="00E15808">
        <w:rPr>
          <w:rFonts w:ascii="Palatino Linotype" w:hAnsi="Palatino Linotype"/>
          <w:i/>
          <w:color w:val="000000"/>
        </w:rPr>
        <w:t xml:space="preserve">, en virtud de que no se encuentra </w:t>
      </w:r>
      <w:r w:rsidR="00AE4D44" w:rsidRPr="00E15808">
        <w:rPr>
          <w:rFonts w:ascii="Palatino Linotype" w:hAnsi="Palatino Linotype"/>
          <w:b/>
          <w:i/>
          <w:color w:val="000000"/>
        </w:rPr>
        <w:t>dentro de las facultades y obligaciones de la Legislatura,</w:t>
      </w:r>
      <w:r w:rsidR="00AE4D44" w:rsidRPr="00E15808">
        <w:rPr>
          <w:rFonts w:ascii="Palatino Linotype" w:hAnsi="Palatino Linotype"/>
          <w:i/>
          <w:color w:val="000000"/>
        </w:rPr>
        <w:t xml:space="preserve"> plasmadas en el artículo 61 de la Constitución Política del Estado Libre y Soberano de México, así como en los artículos 30 al 38 de la Ley Orgánica del Poder Legislativo del Estado Libre y Soberano de México…</w:t>
      </w:r>
      <w:r w:rsidR="00B81FB4" w:rsidRPr="00E15808">
        <w:rPr>
          <w:rFonts w:ascii="Palatino Linotype" w:eastAsia="Calibri" w:hAnsi="Palatino Linotype"/>
          <w:i/>
        </w:rPr>
        <w:t>”</w:t>
      </w:r>
      <w:r w:rsidR="00B81FB4" w:rsidRPr="00E15808">
        <w:rPr>
          <w:rFonts w:ascii="Palatino Linotype" w:hAnsi="Palatino Linotype" w:cs="Arial"/>
        </w:rPr>
        <w:t xml:space="preserve"> debilita la efectividad de esta garantía que otorga el multicitado derecho, además de que se insiste, es información </w:t>
      </w:r>
      <w:r w:rsidR="00AE4D44" w:rsidRPr="00E15808">
        <w:rPr>
          <w:rFonts w:ascii="Palatino Linotype" w:hAnsi="Palatino Linotype" w:cs="Arial"/>
        </w:rPr>
        <w:t xml:space="preserve">que </w:t>
      </w:r>
      <w:r w:rsidR="00E15808">
        <w:rPr>
          <w:rFonts w:ascii="Palatino Linotype" w:hAnsi="Palatino Linotype" w:cs="Arial"/>
        </w:rPr>
        <w:t>de acuerdo a sus atribuciones sí</w:t>
      </w:r>
      <w:r w:rsidR="00AE4D44" w:rsidRPr="00E15808">
        <w:rPr>
          <w:rFonts w:ascii="Palatino Linotype" w:hAnsi="Palatino Linotype" w:cs="Arial"/>
        </w:rPr>
        <w:t xml:space="preserve"> debe ser generada, poseída o administrada</w:t>
      </w:r>
      <w:r w:rsidR="00E15808">
        <w:rPr>
          <w:rFonts w:ascii="Palatino Linotype" w:hAnsi="Palatino Linotype" w:cs="Arial"/>
        </w:rPr>
        <w:t>,</w:t>
      </w:r>
      <w:r w:rsidR="00AE4D44" w:rsidRPr="00E15808">
        <w:rPr>
          <w:rFonts w:ascii="Palatino Linotype" w:hAnsi="Palatino Linotype" w:cs="Arial"/>
        </w:rPr>
        <w:t xml:space="preserve"> toda vez que </w:t>
      </w:r>
      <w:r w:rsidR="00AE4D44" w:rsidRPr="00E15808">
        <w:rPr>
          <w:rFonts w:ascii="Palatino Linotype" w:eastAsia="Times New Roman" w:hAnsi="Palatino Linotype" w:cs="Arial"/>
          <w:color w:val="222222"/>
          <w:lang w:eastAsia="es-MX"/>
        </w:rPr>
        <w:t xml:space="preserve">los legisladores son los responsables de la información correspondiente a </w:t>
      </w:r>
      <w:r w:rsidR="00AE4D44" w:rsidRPr="00E15808">
        <w:rPr>
          <w:rFonts w:ascii="Palatino Linotype" w:hAnsi="Palatino Linotype"/>
          <w:color w:val="000000"/>
        </w:rPr>
        <w:t>los resultados e impacto de los apoyos otorgados, beneficios logrados y la información de los beneficiados</w:t>
      </w:r>
      <w:r w:rsidR="007C0B33" w:rsidRPr="00E15808">
        <w:rPr>
          <w:rFonts w:ascii="Palatino Linotype" w:hAnsi="Palatino Linotype" w:cs="Arial"/>
        </w:rPr>
        <w:t>.</w:t>
      </w:r>
    </w:p>
    <w:p w:rsidR="005A5A23" w:rsidRPr="00855363" w:rsidRDefault="005A5A23" w:rsidP="005A5A2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Palatino Linotype" w:hAnsi="Palatino Linotype" w:cs="Arial"/>
          <w:b/>
        </w:rPr>
      </w:pPr>
    </w:p>
    <w:p w:rsidR="00AE4D44" w:rsidRPr="00855363" w:rsidRDefault="00AE4D44" w:rsidP="0027464F">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contextualSpacing/>
        <w:jc w:val="both"/>
        <w:rPr>
          <w:rFonts w:ascii="Palatino Linotype" w:hAnsi="Palatino Linotype" w:cs="Arial"/>
          <w:b/>
        </w:rPr>
      </w:pPr>
      <w:r w:rsidRPr="00855363">
        <w:rPr>
          <w:rFonts w:ascii="Palatino Linotype" w:hAnsi="Palatino Linotype" w:cs="Arial"/>
        </w:rPr>
        <w:t xml:space="preserve">Para una mayor claridad se hace necesario señalar que los </w:t>
      </w:r>
      <w:r w:rsidRPr="00855363">
        <w:rPr>
          <w:rFonts w:ascii="Palatino Linotype" w:hAnsi="Palatino Linotype"/>
          <w:b/>
        </w:rPr>
        <w:t xml:space="preserve">Lineamientos para el Ejercicio y Control del Presupuesto Asignado al Programa de Apoyo a la Comunidad </w:t>
      </w:r>
      <w:r w:rsidRPr="00855363">
        <w:rPr>
          <w:rFonts w:ascii="Palatino Linotype" w:hAnsi="Palatino Linotype"/>
        </w:rPr>
        <w:t>establecen qué</w:t>
      </w:r>
      <w:r w:rsidRPr="00855363">
        <w:rPr>
          <w:rFonts w:ascii="Palatino Linotype" w:hAnsi="Palatino Linotype" w:cs="Arial"/>
          <w:b/>
        </w:rPr>
        <w:t xml:space="preserve"> </w:t>
      </w:r>
      <w:r w:rsidRPr="00855363">
        <w:rPr>
          <w:rFonts w:ascii="Palatino Linotype" w:hAnsi="Palatino Linotype" w:cs="Arial"/>
        </w:rPr>
        <w:t>es el Programa de Apoyo a la Comunidad y su objeto, tal como se transcribe:</w:t>
      </w:r>
    </w:p>
    <w:p w:rsidR="00AE4D44" w:rsidRPr="00E15808" w:rsidRDefault="00E15808" w:rsidP="00E15808">
      <w:pPr>
        <w:pStyle w:val="Sinespaciado"/>
        <w:ind w:left="851" w:right="567"/>
        <w:jc w:val="both"/>
        <w:rPr>
          <w:rFonts w:ascii="Palatino Linotype" w:hAnsi="Palatino Linotype"/>
          <w:i/>
        </w:rPr>
      </w:pPr>
      <w:r>
        <w:rPr>
          <w:rFonts w:ascii="Palatino Linotype" w:hAnsi="Palatino Linotype"/>
          <w:i/>
        </w:rPr>
        <w:t>“</w:t>
      </w:r>
      <w:r w:rsidR="00AE4D44" w:rsidRPr="00E15808">
        <w:rPr>
          <w:rFonts w:ascii="Palatino Linotype" w:hAnsi="Palatino Linotype"/>
          <w:i/>
        </w:rPr>
        <w:t>El Programa de Apoyo a la Comunidad es un instrumento del Gobierno del Estado de México que contribuye al mejoramiento de la calidad de vida de los habitantes de la entidad, al atender sus demandas con recursos del presupuesto autorizado por la Legislatura para la realización de acciones y obras que promuevan las comunidades a través de los Legisladores, sus grupos parlamentarios y dependencias del Poder Ejecutivo Estatal.</w:t>
      </w:r>
      <w:r>
        <w:rPr>
          <w:rFonts w:ascii="Palatino Linotype" w:hAnsi="Palatino Linotype"/>
          <w:i/>
        </w:rPr>
        <w:t>”</w:t>
      </w:r>
    </w:p>
    <w:p w:rsidR="00AE4D44" w:rsidRPr="00855363" w:rsidRDefault="00AE4D44" w:rsidP="00AE4D44">
      <w:pPr>
        <w:pStyle w:val="Prrafodelista"/>
        <w:spacing w:line="360" w:lineRule="auto"/>
        <w:ind w:left="0" w:right="567"/>
        <w:jc w:val="both"/>
        <w:rPr>
          <w:rFonts w:ascii="Palatino Linotype" w:hAnsi="Palatino Linotype"/>
        </w:rPr>
      </w:pPr>
    </w:p>
    <w:p w:rsidR="00AE4D44" w:rsidRPr="00855363" w:rsidRDefault="00AE4D44"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rPr>
      </w:pPr>
      <w:r w:rsidRPr="00855363">
        <w:rPr>
          <w:rFonts w:ascii="Palatino Linotype" w:hAnsi="Palatino Linotype" w:cs="Arial"/>
        </w:rPr>
        <w:lastRenderedPageBreak/>
        <w:t xml:space="preserve">Ahora bien, en el punto 1.1 de los </w:t>
      </w:r>
      <w:r w:rsidRPr="00855363">
        <w:rPr>
          <w:rFonts w:ascii="Palatino Linotype" w:hAnsi="Palatino Linotype"/>
          <w:b/>
        </w:rPr>
        <w:t xml:space="preserve">Lineamientos para el Ejercicio y Control del Presupuesto Asignado al Programa de Apoyo a la Comunidad, </w:t>
      </w:r>
      <w:r w:rsidRPr="00855363">
        <w:rPr>
          <w:rFonts w:ascii="Palatino Linotype" w:hAnsi="Palatino Linotype"/>
        </w:rPr>
        <w:t xml:space="preserve">conceptualizan que se entiende </w:t>
      </w:r>
      <w:r w:rsidRPr="00104953">
        <w:rPr>
          <w:rFonts w:ascii="Palatino Linotype" w:hAnsi="Palatino Linotype"/>
          <w:b/>
        </w:rPr>
        <w:t>por gestor</w:t>
      </w:r>
      <w:r w:rsidRPr="00855363">
        <w:rPr>
          <w:rFonts w:ascii="Palatino Linotype" w:hAnsi="Palatino Linotype"/>
        </w:rPr>
        <w:t xml:space="preserve"> a las siguientes autoridades:</w:t>
      </w:r>
    </w:p>
    <w:p w:rsidR="00AE4D44" w:rsidRDefault="00E15808" w:rsidP="00E15808">
      <w:pPr>
        <w:pStyle w:val="Sinespaciado"/>
        <w:ind w:left="851" w:right="567"/>
        <w:jc w:val="both"/>
        <w:rPr>
          <w:rFonts w:ascii="Palatino Linotype" w:hAnsi="Palatino Linotype"/>
        </w:rPr>
      </w:pPr>
      <w:r>
        <w:rPr>
          <w:rFonts w:ascii="Palatino Linotype" w:hAnsi="Palatino Linotype"/>
          <w:i/>
          <w:u w:val="single"/>
        </w:rPr>
        <w:t>“</w:t>
      </w:r>
      <w:r w:rsidR="00AE4D44" w:rsidRPr="00E15808">
        <w:rPr>
          <w:rFonts w:ascii="Palatino Linotype" w:hAnsi="Palatino Linotype"/>
          <w:b/>
          <w:i/>
          <w:u w:val="single"/>
        </w:rPr>
        <w:t>Gestor</w:t>
      </w:r>
      <w:r w:rsidR="00AE4D44" w:rsidRPr="00E15808">
        <w:rPr>
          <w:rFonts w:ascii="Palatino Linotype" w:hAnsi="Palatino Linotype"/>
          <w:i/>
          <w:u w:val="single"/>
        </w:rPr>
        <w:t xml:space="preserve">: A los </w:t>
      </w:r>
      <w:r w:rsidR="00AE4D44" w:rsidRPr="00E15808">
        <w:rPr>
          <w:rFonts w:ascii="Palatino Linotype" w:hAnsi="Palatino Linotype"/>
          <w:b/>
          <w:i/>
          <w:u w:val="single"/>
        </w:rPr>
        <w:t>Legisladores</w:t>
      </w:r>
      <w:r w:rsidR="00AE4D44" w:rsidRPr="00E15808">
        <w:rPr>
          <w:rFonts w:ascii="Palatino Linotype" w:hAnsi="Palatino Linotype"/>
          <w:i/>
          <w:u w:val="single"/>
        </w:rPr>
        <w:t>,</w:t>
      </w:r>
      <w:r w:rsidR="00AE4D44" w:rsidRPr="00E15808">
        <w:rPr>
          <w:rFonts w:ascii="Palatino Linotype" w:hAnsi="Palatino Linotype"/>
          <w:i/>
        </w:rPr>
        <w:t xml:space="preserve"> sus grupos parlamentarios o dependencias del Gobierno Estatal que promueven la atención de las demandas sociales a través del Programa de Apoyo a la Comunidad.</w:t>
      </w:r>
      <w:r>
        <w:rPr>
          <w:rFonts w:ascii="Palatino Linotype" w:hAnsi="Palatino Linotype"/>
          <w:i/>
        </w:rPr>
        <w:t>”</w:t>
      </w:r>
    </w:p>
    <w:p w:rsidR="00E15808" w:rsidRPr="00E15808" w:rsidRDefault="00E15808" w:rsidP="00E15808">
      <w:pPr>
        <w:pStyle w:val="Sinespaciado"/>
        <w:ind w:left="851" w:right="567"/>
        <w:jc w:val="both"/>
        <w:rPr>
          <w:rFonts w:ascii="Palatino Linotype" w:hAnsi="Palatino Linotype" w:cs="Arial"/>
        </w:rPr>
      </w:pPr>
      <w:r>
        <w:rPr>
          <w:rFonts w:ascii="Palatino Linotype" w:hAnsi="Palatino Linotype"/>
        </w:rPr>
        <w:t>(Énfasis añadido)</w:t>
      </w:r>
    </w:p>
    <w:p w:rsidR="00AE4D44" w:rsidRPr="00855363" w:rsidRDefault="00AE4D44" w:rsidP="00AE4D44">
      <w:pPr>
        <w:rPr>
          <w:rFonts w:ascii="Palatino Linotype" w:hAnsi="Palatino Linotype" w:cs="Arial"/>
        </w:rPr>
      </w:pPr>
    </w:p>
    <w:p w:rsidR="00AE4D44" w:rsidRPr="00855363" w:rsidRDefault="00AE4D44"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rPr>
      </w:pPr>
      <w:r w:rsidRPr="00855363">
        <w:rPr>
          <w:rFonts w:ascii="Palatino Linotype" w:hAnsi="Palatino Linotype" w:cs="Arial"/>
        </w:rPr>
        <w:t xml:space="preserve">Entonces, el Programa de Apoyo a la Comunidad </w:t>
      </w:r>
      <w:r w:rsidRPr="00855363">
        <w:rPr>
          <w:rFonts w:ascii="Palatino Linotype" w:hAnsi="Palatino Linotype"/>
        </w:rPr>
        <w:t xml:space="preserve">es un instrumento que contribuye al mejoramiento de la calidad de vida de los habitantes de la entidad, al atender sus demandas con recursos del presupuesto </w:t>
      </w:r>
      <w:r w:rsidRPr="00855363">
        <w:rPr>
          <w:rFonts w:ascii="Palatino Linotype" w:hAnsi="Palatino Linotype"/>
          <w:b/>
          <w:i/>
          <w:u w:val="single"/>
        </w:rPr>
        <w:t>autorizado por la Legislatura</w:t>
      </w:r>
      <w:r w:rsidRPr="00855363">
        <w:rPr>
          <w:rFonts w:ascii="Palatino Linotype" w:hAnsi="Palatino Linotype"/>
        </w:rPr>
        <w:t xml:space="preserve"> para la realización de acciones y obras que promuevan las comunidades a través de los gestores quienes son los Legisladores, sus grupos parlamentarios y dependencias del Poder Ejecutivo Estatal, y a su vez la información generada en cuanto a </w:t>
      </w:r>
      <w:r w:rsidR="002C40B1" w:rsidRPr="00855363">
        <w:rPr>
          <w:rFonts w:ascii="Palatino Linotype" w:hAnsi="Palatino Linotype"/>
        </w:rPr>
        <w:t xml:space="preserve">la cantidad, </w:t>
      </w:r>
      <w:r w:rsidRPr="00855363">
        <w:rPr>
          <w:rFonts w:ascii="Palatino Linotype" w:hAnsi="Palatino Linotype"/>
        </w:rPr>
        <w:t xml:space="preserve">los resultados e impacto de los apoyos otorgados, beneficios logrados y beneficiados por el Programa será responsabilidad de los gestores , de conformidad a lo dispuesto por el punto número 12 de los Lineamientos antes citados , tal como se cita: </w:t>
      </w:r>
    </w:p>
    <w:p w:rsidR="00AE4D44" w:rsidRDefault="00FF48FF" w:rsidP="00FF48FF">
      <w:pPr>
        <w:pStyle w:val="Sinespaciado"/>
        <w:ind w:left="851" w:right="567"/>
        <w:jc w:val="both"/>
        <w:rPr>
          <w:rFonts w:ascii="Palatino Linotype" w:hAnsi="Palatino Linotype"/>
        </w:rPr>
      </w:pPr>
      <w:r w:rsidRPr="00FF48FF">
        <w:rPr>
          <w:rFonts w:ascii="Palatino Linotype" w:hAnsi="Palatino Linotype"/>
          <w:i/>
        </w:rPr>
        <w:t>“</w:t>
      </w:r>
      <w:r w:rsidR="00AE4D44" w:rsidRPr="00FF48FF">
        <w:rPr>
          <w:rFonts w:ascii="Palatino Linotype" w:hAnsi="Palatino Linotype"/>
          <w:i/>
        </w:rPr>
        <w:t xml:space="preserve">La Secretaría de Finanzas a través de la Coordinación dará a conocer los presentes Lineamientos. Los resultados e impacto de los apoyos otorgados, beneficios logrados y beneficiados por el Programa, así como la información generada </w:t>
      </w:r>
      <w:r w:rsidR="00AE4D44" w:rsidRPr="00FF48FF">
        <w:rPr>
          <w:rFonts w:ascii="Palatino Linotype" w:hAnsi="Palatino Linotype"/>
          <w:b/>
          <w:i/>
          <w:u w:val="single"/>
        </w:rPr>
        <w:t>serán responsabilidad de los gestores</w:t>
      </w:r>
      <w:r w:rsidR="00AE4D44" w:rsidRPr="00FF48FF">
        <w:rPr>
          <w:rFonts w:ascii="Palatino Linotype" w:hAnsi="Palatino Linotype"/>
          <w:i/>
          <w:u w:val="single"/>
        </w:rPr>
        <w:t>,</w:t>
      </w:r>
      <w:r w:rsidR="00AE4D44" w:rsidRPr="00FF48FF">
        <w:rPr>
          <w:rFonts w:ascii="Palatino Linotype" w:hAnsi="Palatino Linotype"/>
          <w:i/>
        </w:rPr>
        <w:t xml:space="preserve"> en términos de la Ley de Transparencia y Acceso a la Información Pública del Estado de México y Municipios.</w:t>
      </w:r>
      <w:r w:rsidRPr="00FF48FF">
        <w:rPr>
          <w:rFonts w:ascii="Palatino Linotype" w:hAnsi="Palatino Linotype"/>
          <w:i/>
        </w:rPr>
        <w:t>”</w:t>
      </w:r>
    </w:p>
    <w:p w:rsidR="00FF48FF" w:rsidRPr="00FF48FF" w:rsidRDefault="00FF48FF" w:rsidP="00FF48FF">
      <w:pPr>
        <w:pStyle w:val="Sinespaciado"/>
        <w:ind w:left="851" w:right="567"/>
        <w:jc w:val="both"/>
        <w:rPr>
          <w:rFonts w:ascii="Palatino Linotype" w:hAnsi="Palatino Linotype"/>
        </w:rPr>
      </w:pPr>
      <w:r>
        <w:rPr>
          <w:rFonts w:ascii="Palatino Linotype" w:hAnsi="Palatino Linotype"/>
        </w:rPr>
        <w:t>(Énfasis añadido)</w:t>
      </w:r>
    </w:p>
    <w:p w:rsidR="00AE4D44" w:rsidRPr="00855363" w:rsidRDefault="00AE4D44" w:rsidP="00AE4D44">
      <w:pPr>
        <w:pStyle w:val="Prrafodelista"/>
        <w:spacing w:line="360" w:lineRule="auto"/>
        <w:ind w:left="0" w:right="567"/>
        <w:jc w:val="both"/>
        <w:rPr>
          <w:rFonts w:ascii="Palatino Linotype" w:eastAsia="Times New Roman" w:hAnsi="Palatino Linotype" w:cs="Arial"/>
          <w:i/>
          <w:color w:val="222222"/>
          <w:lang w:eastAsia="es-MX"/>
        </w:rPr>
      </w:pPr>
    </w:p>
    <w:p w:rsidR="00AE4D44" w:rsidRPr="00104953" w:rsidRDefault="00AE4D44" w:rsidP="0027464F">
      <w:pPr>
        <w:numPr>
          <w:ilvl w:val="0"/>
          <w:numId w:val="9"/>
        </w:numPr>
        <w:tabs>
          <w:tab w:val="left" w:pos="426"/>
        </w:tabs>
        <w:spacing w:line="360" w:lineRule="auto"/>
        <w:ind w:left="0" w:firstLine="0"/>
        <w:contextualSpacing/>
        <w:jc w:val="both"/>
        <w:rPr>
          <w:rFonts w:ascii="Palatino Linotype" w:hAnsi="Palatino Linotype" w:cs="Arial"/>
          <w:b/>
          <w:color w:val="000000" w:themeColor="text1"/>
          <w:lang w:val="es-ES"/>
        </w:rPr>
      </w:pPr>
      <w:r w:rsidRPr="00855363">
        <w:rPr>
          <w:rFonts w:ascii="Palatino Linotype" w:eastAsia="Times New Roman" w:hAnsi="Palatino Linotype" w:cs="Arial"/>
          <w:color w:val="222222"/>
          <w:lang w:eastAsia="es-MX"/>
        </w:rPr>
        <w:lastRenderedPageBreak/>
        <w:t xml:space="preserve">En ese sentido se concluye que </w:t>
      </w:r>
      <w:r w:rsidR="005A5A23" w:rsidRPr="00855363">
        <w:rPr>
          <w:rFonts w:ascii="Palatino Linotype" w:eastAsia="Times New Roman" w:hAnsi="Palatino Linotype" w:cs="Arial"/>
          <w:b/>
          <w:color w:val="222222"/>
          <w:u w:val="single"/>
          <w:lang w:eastAsia="es-MX"/>
        </w:rPr>
        <w:t>no</w:t>
      </w:r>
      <w:r w:rsidR="005A5A23" w:rsidRPr="00855363">
        <w:rPr>
          <w:rFonts w:ascii="Palatino Linotype" w:eastAsia="Times New Roman" w:hAnsi="Palatino Linotype" w:cs="Arial"/>
          <w:color w:val="222222"/>
          <w:lang w:eastAsia="es-MX"/>
        </w:rPr>
        <w:t xml:space="preserve"> </w:t>
      </w:r>
      <w:r w:rsidRPr="00855363">
        <w:rPr>
          <w:rFonts w:ascii="Palatino Linotype" w:eastAsia="Times New Roman" w:hAnsi="Palatino Linotype" w:cs="Arial"/>
          <w:color w:val="222222"/>
          <w:lang w:eastAsia="es-MX"/>
        </w:rPr>
        <w:t xml:space="preserve">le asiste la razón al </w:t>
      </w:r>
      <w:r w:rsidRPr="00855363">
        <w:rPr>
          <w:rFonts w:ascii="Palatino Linotype" w:eastAsia="Times New Roman" w:hAnsi="Palatino Linotype" w:cs="Arial"/>
          <w:b/>
          <w:color w:val="222222"/>
          <w:lang w:eastAsia="es-MX"/>
        </w:rPr>
        <w:t>SUJETO OBLIGADO</w:t>
      </w:r>
      <w:r w:rsidRPr="00855363">
        <w:rPr>
          <w:rFonts w:ascii="Palatino Linotype" w:eastAsia="Times New Roman" w:hAnsi="Palatino Linotype" w:cs="Arial"/>
          <w:color w:val="222222"/>
          <w:lang w:eastAsia="es-MX"/>
        </w:rPr>
        <w:t xml:space="preserve">, </w:t>
      </w:r>
      <w:r w:rsidR="005A5A23" w:rsidRPr="00855363">
        <w:rPr>
          <w:rFonts w:ascii="Palatino Linotype" w:eastAsia="Times New Roman" w:hAnsi="Palatino Linotype" w:cs="Arial"/>
          <w:color w:val="222222"/>
          <w:lang w:eastAsia="es-MX"/>
        </w:rPr>
        <w:t>toda vez</w:t>
      </w:r>
      <w:r w:rsidRPr="00855363">
        <w:rPr>
          <w:rFonts w:ascii="Palatino Linotype" w:eastAsia="Times New Roman" w:hAnsi="Palatino Linotype" w:cs="Arial"/>
          <w:color w:val="222222"/>
          <w:lang w:eastAsia="es-MX"/>
        </w:rPr>
        <w:t xml:space="preserve"> que toda información generada relativa a los beneficiados por el </w:t>
      </w:r>
      <w:r w:rsidRPr="00855363">
        <w:rPr>
          <w:rFonts w:ascii="Palatino Linotype" w:hAnsi="Palatino Linotype" w:cs="Arial"/>
        </w:rPr>
        <w:t>Programa de Apoyo a la Comunidad, es responsabilidad de los gestores, que en éste caso son los Legisladores, por lo</w:t>
      </w:r>
      <w:r w:rsidR="00104953">
        <w:rPr>
          <w:rFonts w:ascii="Palatino Linotype" w:hAnsi="Palatino Linotype" w:cs="Arial"/>
        </w:rPr>
        <w:t xml:space="preserve"> que si se hubiera realizado una búsqueda exhaustiva y razonable en los archivos del </w:t>
      </w:r>
      <w:r w:rsidR="00104953" w:rsidRPr="00104953">
        <w:rPr>
          <w:rFonts w:ascii="Palatino Linotype" w:hAnsi="Palatino Linotype" w:cs="Arial"/>
          <w:b/>
        </w:rPr>
        <w:t>SUJETO OBLIGADO</w:t>
      </w:r>
      <w:r w:rsidR="00104953">
        <w:rPr>
          <w:rFonts w:ascii="Palatino Linotype" w:hAnsi="Palatino Linotype" w:cs="Arial"/>
        </w:rPr>
        <w:t xml:space="preserve"> y bajo el principio de máxima publicidad y rendición de cuentas que debe caracterizar a las autoridades, bien, se pudo haber entregado los documentos en donde constaran las gestiones se hubieran generado y administrado en relación a este programa.</w:t>
      </w:r>
    </w:p>
    <w:p w:rsidR="000E1809" w:rsidRPr="00855363" w:rsidRDefault="000E1809" w:rsidP="000E1809">
      <w:pPr>
        <w:spacing w:line="360" w:lineRule="auto"/>
        <w:contextualSpacing/>
        <w:jc w:val="both"/>
        <w:rPr>
          <w:rFonts w:ascii="Palatino Linotype" w:hAnsi="Palatino Linotype" w:cs="Arial"/>
          <w:b/>
          <w:color w:val="000000" w:themeColor="text1"/>
          <w:lang w:val="es-ES"/>
        </w:rPr>
      </w:pPr>
    </w:p>
    <w:p w:rsidR="007B1A9F" w:rsidRPr="00855363" w:rsidRDefault="007B1A9F"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eastAsia="Times New Roman" w:hAnsi="Palatino Linotype" w:cs="Arial"/>
          <w:color w:val="000000"/>
        </w:rPr>
      </w:pPr>
      <w:r w:rsidRPr="00855363">
        <w:rPr>
          <w:rFonts w:ascii="Palatino Linotype" w:eastAsia="Times New Roman" w:hAnsi="Palatino Linotype" w:cs="Arial"/>
          <w:color w:val="000000"/>
        </w:rPr>
        <w:t>De lo anterior ha quedado claro, que los diputados en el Programa de Apoyo a la Comunidad son los encargados de gestionar los apoyos ante la Secretaría de Finanzas, por tanto, como lo refiere el numeral 12 de los Lineamientos en comento, “</w:t>
      </w:r>
      <w:r w:rsidRPr="00FF48FF">
        <w:rPr>
          <w:rFonts w:ascii="Palatino Linotype" w:eastAsia="Times New Roman" w:hAnsi="Palatino Linotype" w:cs="Arial"/>
          <w:i/>
          <w:color w:val="000000"/>
        </w:rPr>
        <w:t>los resultados e impacto de los apoyos otorgados, beneficios logrados y beneficiados por el programa, así como la información generada serán responsabilidad de los gestores</w:t>
      </w:r>
      <w:r w:rsidRPr="00855363">
        <w:rPr>
          <w:rFonts w:ascii="Palatino Linotype" w:eastAsia="Times New Roman" w:hAnsi="Palatino Linotype" w:cs="Arial"/>
          <w:color w:val="000000"/>
        </w:rPr>
        <w:t>”, así mismo, l</w:t>
      </w:r>
      <w:r w:rsidR="003D71AC" w:rsidRPr="00855363">
        <w:rPr>
          <w:rFonts w:ascii="Palatino Linotype" w:eastAsia="Times New Roman" w:hAnsi="Palatino Linotype" w:cs="Arial"/>
          <w:color w:val="000000"/>
        </w:rPr>
        <w:t xml:space="preserve">os lineamientos en el </w:t>
      </w:r>
      <w:r w:rsidR="003D71AC" w:rsidRPr="00104953">
        <w:rPr>
          <w:rFonts w:ascii="Palatino Linotype" w:eastAsia="Times New Roman" w:hAnsi="Palatino Linotype" w:cs="Arial"/>
          <w:b/>
          <w:color w:val="000000"/>
          <w:u w:val="single"/>
        </w:rPr>
        <w:t>numeral 8</w:t>
      </w:r>
      <w:r w:rsidRPr="00104953">
        <w:rPr>
          <w:rFonts w:ascii="Palatino Linotype" w:eastAsia="Times New Roman" w:hAnsi="Palatino Linotype" w:cs="Arial"/>
          <w:b/>
          <w:color w:val="000000"/>
          <w:u w:val="single"/>
        </w:rPr>
        <w:t xml:space="preserve"> mencionan que es responsabilidad de los gestores contar con la documentación debidamente </w:t>
      </w:r>
      <w:proofErr w:type="spellStart"/>
      <w:r w:rsidRPr="00104953">
        <w:rPr>
          <w:rFonts w:ascii="Palatino Linotype" w:eastAsia="Times New Roman" w:hAnsi="Palatino Linotype" w:cs="Arial"/>
          <w:b/>
          <w:color w:val="000000"/>
          <w:u w:val="single"/>
        </w:rPr>
        <w:t>requisitada</w:t>
      </w:r>
      <w:proofErr w:type="spellEnd"/>
      <w:r w:rsidRPr="00104953">
        <w:rPr>
          <w:rFonts w:ascii="Palatino Linotype" w:eastAsia="Times New Roman" w:hAnsi="Palatino Linotype" w:cs="Arial"/>
          <w:b/>
          <w:color w:val="000000"/>
          <w:u w:val="single"/>
        </w:rPr>
        <w:t xml:space="preserve"> y con las firmas autógrafas de los responsables de la recepción de los bienes económicos y materiales</w:t>
      </w:r>
      <w:r w:rsidRPr="00855363">
        <w:rPr>
          <w:rFonts w:ascii="Palatino Linotype" w:eastAsia="Times New Roman" w:hAnsi="Palatino Linotype" w:cs="Arial"/>
          <w:color w:val="000000"/>
        </w:rPr>
        <w:t>, por lo que se presume que conforme a la obligación de resguardar toda la información que se genere de acuerdo a sus facultades atribuciones y competencias que derivan del cargo que ostenta, existen al menos copias de las gestiones que ha realizado por concepto del Programa de Apoyo a la Comunidad.</w:t>
      </w:r>
    </w:p>
    <w:p w:rsidR="007B1A9F" w:rsidRPr="00855363" w:rsidRDefault="007B1A9F" w:rsidP="007B1A9F">
      <w:pPr>
        <w:pStyle w:val="Prrafodelista"/>
        <w:spacing w:line="360" w:lineRule="auto"/>
        <w:ind w:left="0" w:right="49"/>
        <w:jc w:val="both"/>
        <w:rPr>
          <w:rFonts w:ascii="Palatino Linotype" w:eastAsia="Times New Roman" w:hAnsi="Palatino Linotype" w:cs="Arial"/>
          <w:color w:val="000000"/>
        </w:rPr>
      </w:pPr>
    </w:p>
    <w:p w:rsidR="000E1809" w:rsidRPr="00855363" w:rsidRDefault="000E1809"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right="49" w:firstLine="0"/>
        <w:jc w:val="both"/>
        <w:rPr>
          <w:rFonts w:ascii="Palatino Linotype" w:eastAsia="Times New Roman" w:hAnsi="Palatino Linotype" w:cs="Arial"/>
          <w:color w:val="000000"/>
        </w:rPr>
      </w:pPr>
      <w:r w:rsidRPr="00855363">
        <w:rPr>
          <w:rFonts w:ascii="Palatino Linotype" w:eastAsia="Times New Roman" w:hAnsi="Palatino Linotype" w:cs="Arial"/>
          <w:color w:val="000000"/>
        </w:rPr>
        <w:lastRenderedPageBreak/>
        <w:t>Por otro lado, el Presupuesto de Egres</w:t>
      </w:r>
      <w:r w:rsidR="003D71AC" w:rsidRPr="00855363">
        <w:rPr>
          <w:rFonts w:ascii="Palatino Linotype" w:eastAsia="Times New Roman" w:hAnsi="Palatino Linotype" w:cs="Arial"/>
          <w:color w:val="000000"/>
        </w:rPr>
        <w:t>os para el ejercicio fiscal 2015 y 2016</w:t>
      </w:r>
      <w:r w:rsidRPr="00855363">
        <w:rPr>
          <w:rFonts w:ascii="Palatino Linotype" w:eastAsia="Times New Roman" w:hAnsi="Palatino Linotype" w:cs="Arial"/>
          <w:color w:val="000000"/>
        </w:rPr>
        <w:t xml:space="preserve"> en su artículo 17</w:t>
      </w:r>
      <w:r w:rsidR="003D71AC" w:rsidRPr="00855363">
        <w:rPr>
          <w:rFonts w:ascii="Palatino Linotype" w:eastAsia="Times New Roman" w:hAnsi="Palatino Linotype" w:cs="Arial"/>
          <w:color w:val="000000"/>
        </w:rPr>
        <w:t xml:space="preserve"> respectivamente</w:t>
      </w:r>
      <w:r w:rsidRPr="00855363">
        <w:rPr>
          <w:rFonts w:ascii="Palatino Linotype" w:eastAsia="Times New Roman" w:hAnsi="Palatino Linotype" w:cs="Arial"/>
          <w:color w:val="000000"/>
        </w:rPr>
        <w:t>, el Presupuesto de Egres</w:t>
      </w:r>
      <w:r w:rsidR="003D71AC" w:rsidRPr="00855363">
        <w:rPr>
          <w:rFonts w:ascii="Palatino Linotype" w:eastAsia="Times New Roman" w:hAnsi="Palatino Linotype" w:cs="Arial"/>
          <w:color w:val="000000"/>
        </w:rPr>
        <w:t>os para el ejercicio fiscal 2017 y al 2018</w:t>
      </w:r>
      <w:r w:rsidRPr="00855363">
        <w:rPr>
          <w:rFonts w:ascii="Palatino Linotype" w:eastAsia="Times New Roman" w:hAnsi="Palatino Linotype" w:cs="Arial"/>
          <w:color w:val="000000"/>
        </w:rPr>
        <w:t xml:space="preserve"> en el artículo 23 respectivamente, establecen lo siguiente:</w:t>
      </w:r>
    </w:p>
    <w:p w:rsidR="000E1809" w:rsidRPr="00FF48FF" w:rsidRDefault="000E1809" w:rsidP="00FF48FF">
      <w:pPr>
        <w:pStyle w:val="Sinespaciado"/>
        <w:ind w:left="851" w:right="567"/>
        <w:jc w:val="both"/>
        <w:rPr>
          <w:rFonts w:ascii="Palatino Linotype" w:hAnsi="Palatino Linotype" w:cs="Arial"/>
          <w:b/>
          <w:i/>
          <w:color w:val="000000" w:themeColor="text1"/>
          <w:lang w:val="es-ES"/>
        </w:rPr>
      </w:pPr>
      <w:r w:rsidRPr="00FF48FF">
        <w:rPr>
          <w:rFonts w:ascii="Palatino Linotype" w:hAnsi="Palatino Linotype"/>
          <w:i/>
        </w:rPr>
        <w:t>“Este importe incluye $187</w:t>
      </w:r>
      <w:r w:rsidR="00AF4D88" w:rsidRPr="00FF48FF">
        <w:rPr>
          <w:rFonts w:ascii="Palatino Linotype" w:hAnsi="Palatino Linotype"/>
          <w:i/>
        </w:rPr>
        <w:t>, 500,000</w:t>
      </w:r>
      <w:r w:rsidRPr="00FF48FF">
        <w:rPr>
          <w:rFonts w:ascii="Palatino Linotype" w:hAnsi="Palatino Linotype"/>
          <w:i/>
        </w:rPr>
        <w:t xml:space="preserve"> del Programa de Apoyo a la Comunidad que ejercen los legisladores, el cual se orienta a la atención de las demandas ciudadanas mediante la entrega de apoyos en materiales diversos, mismo que estará sujeto a los lineamientos, reglas y manuales de operación aplicables a los programas sociales en términos de la Ley de Desarrollo Social del Estado de México. La misma circunstancia aplicará a cualquier otro programa y sus ampliaciones del Ejecutivo del Estado que ejerzan los legisladores, sus grupos parlamentarios y las dependencias del Poder Ejecutivo Estatal”</w:t>
      </w:r>
    </w:p>
    <w:p w:rsidR="000E1809" w:rsidRPr="00855363" w:rsidRDefault="000E1809" w:rsidP="000E1809">
      <w:pPr>
        <w:pStyle w:val="Prrafodelista"/>
        <w:spacing w:line="360" w:lineRule="auto"/>
        <w:ind w:left="0" w:right="49"/>
        <w:jc w:val="both"/>
        <w:rPr>
          <w:rFonts w:ascii="Palatino Linotype" w:hAnsi="Palatino Linotype"/>
        </w:rPr>
      </w:pPr>
    </w:p>
    <w:p w:rsidR="007B1A9F" w:rsidRPr="00855363" w:rsidRDefault="000E1809"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Hasta éste punto se entiende que el Presupuesto de Egresos, contempla una cantidad anual destinada al Programa de Apoyo a la Comunidad, el cual es solicitado a los diputados, quienes a su vez lo gestionan ante la Secretaría de Finanzas, cabe mencionar que los </w:t>
      </w:r>
      <w:r w:rsidRPr="00855363">
        <w:rPr>
          <w:rFonts w:ascii="Palatino Linotype" w:hAnsi="Palatino Linotype"/>
        </w:rPr>
        <w:t xml:space="preserve">Lineamientos para el Ejercicio y Control del Presupuesto Asignado al Programa de Apoyo a la Comunidad tanto de los años </w:t>
      </w:r>
      <w:r w:rsidR="00160169" w:rsidRPr="00855363">
        <w:rPr>
          <w:rFonts w:ascii="Palatino Linotype" w:hAnsi="Palatino Linotype"/>
        </w:rPr>
        <w:t xml:space="preserve">2015, </w:t>
      </w:r>
      <w:r w:rsidRPr="00855363">
        <w:rPr>
          <w:rFonts w:ascii="Palatino Linotype" w:hAnsi="Palatino Linotype"/>
        </w:rPr>
        <w:t>2016, 2017 como del año 2018, contempla varios formatos, y entre ellos hay uno denominado solicitud de materiales el cual debe ser llenado con datos tanto del beneficiario como del gestor, se inserta una imagen de referencia:</w:t>
      </w:r>
    </w:p>
    <w:p w:rsidR="00E3254B" w:rsidRDefault="000E1809" w:rsidP="00FF48F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center"/>
        <w:rPr>
          <w:rFonts w:ascii="Palatino Linotype" w:eastAsia="Calibri" w:hAnsi="Palatino Linotype" w:cs="Arial"/>
          <w:lang w:val="es-ES"/>
        </w:rPr>
      </w:pPr>
      <w:r w:rsidRPr="00855363">
        <w:rPr>
          <w:rFonts w:ascii="Palatino Linotype" w:hAnsi="Palatino Linotype"/>
          <w:noProof/>
          <w:lang w:eastAsia="es-MX"/>
        </w:rPr>
        <w:lastRenderedPageBreak/>
        <w:drawing>
          <wp:inline distT="0" distB="0" distL="0" distR="0" wp14:anchorId="6D5D5168" wp14:editId="10CA08CB">
            <wp:extent cx="5401397" cy="5010150"/>
            <wp:effectExtent l="57150" t="57150" r="123190"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816" t="10201" r="28377" b="16757"/>
                    <a:stretch/>
                  </pic:blipFill>
                  <pic:spPr bwMode="auto">
                    <a:xfrm>
                      <a:off x="0" y="0"/>
                      <a:ext cx="5414647" cy="50224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FF48FF" w:rsidRDefault="00FF48FF" w:rsidP="00FF48F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rPr>
          <w:rFonts w:ascii="Palatino Linotype" w:eastAsia="Calibri" w:hAnsi="Palatino Linotype" w:cs="Arial"/>
          <w:lang w:val="es-ES"/>
        </w:rPr>
      </w:pPr>
      <w:r>
        <w:rPr>
          <w:rFonts w:ascii="Palatino Linotype" w:eastAsia="Calibri" w:hAnsi="Palatino Linotype" w:cs="Arial"/>
          <w:noProof/>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8255</wp:posOffset>
                </wp:positionV>
                <wp:extent cx="5591175" cy="15525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5591175" cy="1552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8ED65" id="Conector recto 4"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65pt" to="829.3pt,1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" strokecolor="black [3200]" strokeweight=".5pt">
                <v:stroke joinstyle="miter"/>
                <w10:wrap anchorx="margin"/>
              </v:line>
            </w:pict>
          </mc:Fallback>
        </mc:AlternateContent>
      </w:r>
    </w:p>
    <w:p w:rsidR="00FF48FF" w:rsidRDefault="00FF48FF" w:rsidP="00FF48F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rPr>
          <w:rFonts w:ascii="Palatino Linotype" w:eastAsia="Calibri" w:hAnsi="Palatino Linotype" w:cs="Arial"/>
          <w:lang w:val="es-ES"/>
        </w:rPr>
      </w:pPr>
    </w:p>
    <w:p w:rsidR="00FF48FF" w:rsidRDefault="00FF48FF" w:rsidP="00FF48F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rPr>
          <w:rFonts w:ascii="Palatino Linotype" w:eastAsia="Calibri" w:hAnsi="Palatino Linotype" w:cs="Arial"/>
          <w:lang w:val="es-ES"/>
        </w:rPr>
      </w:pPr>
    </w:p>
    <w:p w:rsidR="00FF48FF" w:rsidRDefault="00FF48FF" w:rsidP="00FF48F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rPr>
          <w:rFonts w:ascii="Palatino Linotype" w:eastAsia="Calibri" w:hAnsi="Palatino Linotype" w:cs="Arial"/>
          <w:lang w:val="es-ES"/>
        </w:rPr>
      </w:pPr>
    </w:p>
    <w:p w:rsidR="00FF48FF" w:rsidRPr="00855363" w:rsidRDefault="00FF48FF" w:rsidP="00FF48F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rPr>
          <w:rFonts w:ascii="Palatino Linotype" w:eastAsia="Calibri" w:hAnsi="Palatino Linotype" w:cs="Arial"/>
          <w:lang w:val="es-ES"/>
        </w:rPr>
      </w:pPr>
    </w:p>
    <w:p w:rsidR="0055331C" w:rsidRPr="00855363" w:rsidRDefault="002C40B1" w:rsidP="005A61A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center"/>
        <w:rPr>
          <w:rFonts w:ascii="Palatino Linotype" w:eastAsia="Calibri" w:hAnsi="Palatino Linotype" w:cs="Arial"/>
          <w:lang w:val="es-ES"/>
        </w:rPr>
      </w:pPr>
      <w:r w:rsidRPr="00855363">
        <w:rPr>
          <w:rFonts w:ascii="Palatino Linotype" w:hAnsi="Palatino Linotype"/>
          <w:noProof/>
          <w:lang w:eastAsia="es-MX"/>
        </w:rPr>
        <w:lastRenderedPageBreak/>
        <w:drawing>
          <wp:inline distT="0" distB="0" distL="0" distR="0" wp14:anchorId="57EB7328" wp14:editId="18835DB1">
            <wp:extent cx="4467225" cy="7282458"/>
            <wp:effectExtent l="57150" t="57150" r="104775" b="1092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939" t="7220" r="30459" b="496"/>
                    <a:stretch/>
                  </pic:blipFill>
                  <pic:spPr bwMode="auto">
                    <a:xfrm>
                      <a:off x="0" y="0"/>
                      <a:ext cx="4469515" cy="728619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5D4862" w:rsidRPr="005A61A9" w:rsidRDefault="002C40B1"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lastRenderedPageBreak/>
        <w:t xml:space="preserve">Entonces, en el contenido del formato señalado se observa información que puede cumplir con lo requerido en la solicitud de información, toda vez que contiene datos como nombre y firma del gestor, municipio y comunidad, </w:t>
      </w:r>
      <w:r w:rsidRPr="00855363">
        <w:rPr>
          <w:rFonts w:ascii="Palatino Linotype" w:eastAsia="Calibri" w:hAnsi="Palatino Linotype" w:cs="Arial"/>
          <w:b/>
          <w:u w:val="single"/>
          <w:lang w:val="es-ES" w:eastAsia="es-MX"/>
        </w:rPr>
        <w:t>apoyo otorgado y cantidad</w:t>
      </w:r>
      <w:r w:rsidRPr="00855363">
        <w:rPr>
          <w:rFonts w:ascii="Palatino Linotype" w:eastAsia="Calibri" w:hAnsi="Palatino Linotype" w:cs="Arial"/>
          <w:lang w:val="es-ES" w:eastAsia="es-MX"/>
        </w:rPr>
        <w:t>, sello de autorización y cantidad autorizada, entre otros, que si bien,</w:t>
      </w:r>
      <w:r w:rsidR="00013DED">
        <w:rPr>
          <w:rFonts w:ascii="Palatino Linotype" w:eastAsia="Calibri" w:hAnsi="Palatino Linotype" w:cs="Arial"/>
          <w:lang w:val="es-ES" w:eastAsia="es-MX"/>
        </w:rPr>
        <w:t xml:space="preserve"> no es tal y como lo requiere la</w:t>
      </w:r>
      <w:r w:rsidRPr="00855363">
        <w:rPr>
          <w:rFonts w:ascii="Palatino Linotype" w:eastAsia="Calibri" w:hAnsi="Palatino Linotype" w:cs="Arial"/>
          <w:lang w:val="es-ES" w:eastAsia="es-MX"/>
        </w:rPr>
        <w:t xml:space="preserve"> particular, pero es análogo, para lo cual sirve de apoyo el artículo 12 de la Ley de Transparencia y Acceso a la Información Pública del Estado de México y Municipios que refiere lo siguiente:</w:t>
      </w:r>
    </w:p>
    <w:p w:rsidR="002C40B1" w:rsidRPr="00FF48FF" w:rsidRDefault="00FF48FF" w:rsidP="00FF48FF">
      <w:pPr>
        <w:pStyle w:val="Sinespaciado"/>
        <w:ind w:left="851" w:right="567"/>
        <w:jc w:val="both"/>
        <w:rPr>
          <w:rFonts w:ascii="Palatino Linotype" w:hAnsi="Palatino Linotype"/>
          <w:i/>
          <w:lang w:val="es-ES"/>
        </w:rPr>
      </w:pPr>
      <w:r>
        <w:rPr>
          <w:rFonts w:ascii="Palatino Linotype" w:hAnsi="Palatino Linotype" w:cs="Bookman Old Style,Bold"/>
          <w:b/>
          <w:bCs/>
          <w:i/>
          <w:lang w:val="es-ES"/>
        </w:rPr>
        <w:t>“</w:t>
      </w:r>
      <w:r w:rsidR="002C40B1" w:rsidRPr="00FF48FF">
        <w:rPr>
          <w:rFonts w:ascii="Palatino Linotype" w:hAnsi="Palatino Linotype" w:cs="Bookman Old Style,Bold"/>
          <w:b/>
          <w:bCs/>
          <w:i/>
          <w:lang w:val="es-ES"/>
        </w:rPr>
        <w:t xml:space="preserve">Artículo 12. </w:t>
      </w:r>
      <w:r w:rsidR="002C40B1" w:rsidRPr="00FF48FF">
        <w:rPr>
          <w:rFonts w:ascii="Palatino Linotype" w:hAnsi="Palatino Linotype"/>
          <w:i/>
          <w:lang w:val="es-ES"/>
        </w:rPr>
        <w:t>Quienes generen, recopilen, administren, manejen, procesen, archiven o conserven información pública serán responsables de la misma en los términos de las disposiciones jurídicas aplicables.</w:t>
      </w:r>
    </w:p>
    <w:p w:rsidR="002C40B1" w:rsidRPr="005A61A9" w:rsidRDefault="002C40B1" w:rsidP="00FF48FF">
      <w:pPr>
        <w:pStyle w:val="Sinespaciado"/>
        <w:ind w:left="851" w:right="567"/>
        <w:jc w:val="both"/>
        <w:rPr>
          <w:rFonts w:eastAsia="Calibri" w:cs="Arial"/>
          <w:lang w:val="es-ES" w:eastAsia="es-MX"/>
        </w:rPr>
      </w:pPr>
      <w:r w:rsidRPr="00FF48FF">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FF48FF">
        <w:rPr>
          <w:rFonts w:ascii="Palatino Linotype" w:hAnsi="Palatino Linotype"/>
          <w:i/>
          <w:lang w:val="es-ES"/>
        </w:rPr>
        <w:t>”</w:t>
      </w:r>
    </w:p>
    <w:p w:rsidR="002C40B1" w:rsidRPr="00855363" w:rsidRDefault="002C40B1" w:rsidP="002C40B1">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2C40B1" w:rsidRPr="00855363" w:rsidRDefault="002C40B1"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Derivado de que los formatos son llenados </w:t>
      </w:r>
      <w:r w:rsidR="00FF48FF">
        <w:rPr>
          <w:rFonts w:ascii="Palatino Linotype" w:eastAsia="Calibri" w:hAnsi="Palatino Linotype" w:cs="Arial"/>
          <w:lang w:val="es-ES" w:eastAsia="es-MX"/>
        </w:rPr>
        <w:t xml:space="preserve">y entregados por los gestores, </w:t>
      </w:r>
      <w:r w:rsidRPr="00855363">
        <w:rPr>
          <w:rFonts w:ascii="Palatino Linotype" w:eastAsia="Calibri" w:hAnsi="Palatino Linotype" w:cs="Arial"/>
          <w:lang w:val="es-ES" w:eastAsia="es-MX"/>
        </w:rPr>
        <w:t xml:space="preserve">por consecuencia se debe contar con una copia para el debido control y resguardo de la información generada por el Programa de Apoyo a la Comunidad, tal como lo establece el numeral </w:t>
      </w:r>
      <w:r w:rsidR="00FF48FF">
        <w:rPr>
          <w:rFonts w:ascii="Palatino Linotype" w:eastAsia="Calibri" w:hAnsi="Palatino Linotype" w:cs="Arial"/>
          <w:lang w:val="es-ES" w:eastAsia="es-MX"/>
        </w:rPr>
        <w:t>8 de los L</w:t>
      </w:r>
      <w:r w:rsidRPr="00855363">
        <w:rPr>
          <w:rFonts w:ascii="Palatino Linotype" w:eastAsia="Calibri" w:hAnsi="Palatino Linotype" w:cs="Arial"/>
          <w:lang w:val="es-ES" w:eastAsia="es-MX"/>
        </w:rPr>
        <w:t xml:space="preserve">ineamientos en materia, que versa en que es responsabilidad del gestor contar con la documentación debidamente </w:t>
      </w:r>
      <w:proofErr w:type="spellStart"/>
      <w:r w:rsidRPr="00855363">
        <w:rPr>
          <w:rFonts w:ascii="Palatino Linotype" w:eastAsia="Calibri" w:hAnsi="Palatino Linotype" w:cs="Arial"/>
          <w:lang w:val="es-ES" w:eastAsia="es-MX"/>
        </w:rPr>
        <w:t>requisitada</w:t>
      </w:r>
      <w:proofErr w:type="spellEnd"/>
      <w:r w:rsidRPr="00855363">
        <w:rPr>
          <w:rFonts w:ascii="Palatino Linotype" w:eastAsia="Calibri" w:hAnsi="Palatino Linotype" w:cs="Arial"/>
          <w:lang w:val="es-ES" w:eastAsia="es-MX"/>
        </w:rPr>
        <w:t xml:space="preserve">, siendo una obligación, </w:t>
      </w:r>
      <w:r w:rsidRPr="005A61A9">
        <w:rPr>
          <w:rFonts w:ascii="Palatino Linotype" w:eastAsia="Calibri" w:hAnsi="Palatino Linotype" w:cs="Arial"/>
          <w:b/>
          <w:u w:val="single"/>
          <w:lang w:val="es-ES" w:eastAsia="es-MX"/>
        </w:rPr>
        <w:t>la conservación de todos los actos de autoridad que realizan en funciones del cargo que ostentan,</w:t>
      </w:r>
      <w:r w:rsidRPr="00855363">
        <w:rPr>
          <w:rFonts w:ascii="Palatino Linotype" w:eastAsia="Calibri" w:hAnsi="Palatino Linotype" w:cs="Arial"/>
          <w:lang w:val="es-ES" w:eastAsia="es-MX"/>
        </w:rPr>
        <w:t xml:space="preserve"> y aunado a ello también los Lineamientos en comento establecen que en materia de transparencia, los responsables de toda la información que se genere del Programa de Apoyo a la </w:t>
      </w:r>
      <w:r w:rsidRPr="00855363">
        <w:rPr>
          <w:rFonts w:ascii="Palatino Linotype" w:eastAsia="Calibri" w:hAnsi="Palatino Linotype" w:cs="Arial"/>
          <w:lang w:val="es-ES" w:eastAsia="es-MX"/>
        </w:rPr>
        <w:lastRenderedPageBreak/>
        <w:t>Comunidad son los gestores. En esa tesitura los gestores deben contar con información de respaldo sobre las gestiones que realizan dentro del programa multicitado, por lo que se debe contar con parte de la información requerida</w:t>
      </w:r>
      <w:r w:rsidR="005D4862" w:rsidRPr="00855363">
        <w:rPr>
          <w:rFonts w:ascii="Palatino Linotype" w:eastAsia="Calibri" w:hAnsi="Palatino Linotype" w:cs="Arial"/>
          <w:lang w:val="es-ES" w:eastAsia="es-MX"/>
        </w:rPr>
        <w:t>.</w:t>
      </w:r>
    </w:p>
    <w:p w:rsidR="005D4862" w:rsidRPr="00855363" w:rsidRDefault="005D4862" w:rsidP="005D486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360" w:lineRule="auto"/>
        <w:ind w:left="0" w:right="50"/>
        <w:jc w:val="both"/>
        <w:rPr>
          <w:rFonts w:ascii="Palatino Linotype" w:eastAsia="Calibri" w:hAnsi="Palatino Linotype" w:cs="Arial"/>
          <w:lang w:val="es-ES" w:eastAsia="es-MX"/>
        </w:rPr>
      </w:pPr>
    </w:p>
    <w:p w:rsidR="002C40B1" w:rsidRPr="00855363" w:rsidRDefault="002C40B1"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Lo anterior tiene sustento desde la </w:t>
      </w:r>
      <w:r w:rsidRPr="00855363">
        <w:rPr>
          <w:rFonts w:ascii="Palatino Linotype" w:eastAsia="Calibri" w:hAnsi="Palatino Linotype" w:cs="Arial"/>
          <w:b/>
          <w:lang w:val="es-ES" w:eastAsia="es-MX"/>
        </w:rPr>
        <w:t>Constitución Política de los Estados Unidos Mexicanos</w:t>
      </w:r>
      <w:r w:rsidRPr="00855363">
        <w:rPr>
          <w:rFonts w:ascii="Palatino Linotype" w:eastAsia="Calibri" w:hAnsi="Palatino Linotype" w:cs="Arial"/>
          <w:lang w:val="es-ES" w:eastAsia="es-MX"/>
        </w:rPr>
        <w:t>, toda vez que en el artículo 6 apartado A fracción I establece lo siguiente:</w:t>
      </w:r>
    </w:p>
    <w:p w:rsidR="008E36F7" w:rsidRPr="00FF48FF" w:rsidRDefault="00FF48FF" w:rsidP="00FF48FF">
      <w:pPr>
        <w:pStyle w:val="Sinespaciado"/>
        <w:ind w:left="851" w:right="567"/>
        <w:jc w:val="both"/>
        <w:rPr>
          <w:rFonts w:ascii="Palatino Linotype" w:hAnsi="Palatino Linotype"/>
          <w:i/>
          <w:lang w:val="es-ES" w:eastAsia="es-MX"/>
        </w:rPr>
      </w:pPr>
      <w:r w:rsidRPr="00FF48FF">
        <w:rPr>
          <w:rFonts w:ascii="Palatino Linotype" w:hAnsi="Palatino Linotype"/>
          <w:i/>
          <w:lang w:val="es-ES" w:eastAsia="es-MX"/>
        </w:rPr>
        <w:t>“</w:t>
      </w:r>
      <w:r w:rsidR="002C40B1" w:rsidRPr="00FF48FF">
        <w:rPr>
          <w:rFonts w:ascii="Palatino Linotype" w:hAnsi="Palatino Linotype"/>
          <w:i/>
          <w:lang w:val="es-ES" w:eastAsia="es-MX"/>
        </w:rPr>
        <w:t>(…)</w:t>
      </w:r>
    </w:p>
    <w:p w:rsidR="002C40B1" w:rsidRPr="00FF48FF" w:rsidRDefault="002C40B1" w:rsidP="00FF48FF">
      <w:pPr>
        <w:pStyle w:val="Sinespaciado"/>
        <w:ind w:left="851" w:right="567"/>
        <w:jc w:val="both"/>
        <w:rPr>
          <w:rFonts w:ascii="Palatino Linotype" w:hAnsi="Palatino Linotype"/>
          <w:i/>
          <w:lang w:val="es-ES" w:eastAsia="es-MX"/>
        </w:rPr>
      </w:pPr>
      <w:r w:rsidRPr="00FF48FF">
        <w:rPr>
          <w:rFonts w:ascii="Palatino Linotype" w:hAnsi="Palatino Linotype"/>
          <w:i/>
        </w:rPr>
        <w:t>Para el ejercicio del derecho de acceso a la información, la Federación y las entidades federativas, en el ámbito de sus respectivas competencias, se regirán por los siguientes principios y bases:</w:t>
      </w:r>
    </w:p>
    <w:p w:rsidR="002C40B1" w:rsidRPr="00FF48FF" w:rsidRDefault="002C40B1" w:rsidP="00FF48FF">
      <w:pPr>
        <w:pStyle w:val="Sinespaciado"/>
        <w:ind w:left="851" w:right="567"/>
        <w:jc w:val="both"/>
        <w:rPr>
          <w:rFonts w:ascii="Palatino Linotype" w:hAnsi="Palatino Linotype"/>
          <w:i/>
          <w:lang w:val="es-ES" w:eastAsia="es-MX"/>
        </w:rPr>
      </w:pPr>
    </w:p>
    <w:p w:rsidR="002C40B1" w:rsidRPr="00FF48FF" w:rsidRDefault="002C40B1" w:rsidP="00FF48FF">
      <w:pPr>
        <w:pStyle w:val="Sinespaciado"/>
        <w:ind w:left="851" w:right="567"/>
        <w:jc w:val="both"/>
        <w:rPr>
          <w:rFonts w:ascii="Palatino Linotype" w:hAnsi="Palatino Linotype"/>
          <w:i/>
          <w:lang w:val="es-ES" w:eastAsia="es-MX"/>
        </w:rPr>
      </w:pPr>
      <w:r w:rsidRPr="00FF48FF">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C40B1" w:rsidRDefault="002C40B1" w:rsidP="00FF48FF">
      <w:pPr>
        <w:pStyle w:val="Sinespaciado"/>
        <w:ind w:left="851" w:right="567"/>
        <w:jc w:val="both"/>
        <w:rPr>
          <w:rFonts w:ascii="Palatino Linotype" w:hAnsi="Palatino Linotype"/>
          <w:i/>
        </w:rPr>
      </w:pPr>
      <w:r w:rsidRPr="00FF48FF">
        <w:rPr>
          <w:rFonts w:ascii="Palatino Linotype" w:hAnsi="Palatino Linotype"/>
          <w:i/>
        </w:rPr>
        <w:t>(…)</w:t>
      </w:r>
      <w:r w:rsidR="00FF48FF">
        <w:rPr>
          <w:rFonts w:ascii="Palatino Linotype" w:hAnsi="Palatino Linotype"/>
          <w:i/>
        </w:rPr>
        <w:t>”</w:t>
      </w:r>
    </w:p>
    <w:p w:rsidR="00FF48FF" w:rsidRPr="00FF48FF" w:rsidRDefault="00FF48FF" w:rsidP="00FF48FF">
      <w:pPr>
        <w:pStyle w:val="Sinespaciado"/>
        <w:ind w:left="851" w:right="567"/>
        <w:jc w:val="both"/>
        <w:rPr>
          <w:rFonts w:ascii="Palatino Linotype" w:hAnsi="Palatino Linotype"/>
          <w:i/>
          <w:lang w:val="es-ES" w:eastAsia="es-MX"/>
        </w:rPr>
      </w:pPr>
    </w:p>
    <w:p w:rsidR="002C40B1" w:rsidRPr="00855363" w:rsidRDefault="002C40B1"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Por su parte la Ley de Documentos Administrativos e Históricos del Estado de México establece en su artículo 8 que los documentos de contenido administrativo serán conservados por 20 años, para un mejor entendimiento se inserta el contenido del referido artículo.</w:t>
      </w:r>
    </w:p>
    <w:p w:rsidR="002C40B1" w:rsidRPr="00FF48FF" w:rsidRDefault="00FF48FF" w:rsidP="00FF48FF">
      <w:pPr>
        <w:pStyle w:val="Sinespaciado"/>
        <w:ind w:left="851" w:right="567"/>
        <w:jc w:val="both"/>
        <w:rPr>
          <w:rFonts w:ascii="Palatino Linotype" w:hAnsi="Palatino Linotype"/>
          <w:i/>
        </w:rPr>
      </w:pPr>
      <w:r>
        <w:rPr>
          <w:rFonts w:ascii="Palatino Linotype" w:hAnsi="Palatino Linotype"/>
          <w:i/>
        </w:rPr>
        <w:lastRenderedPageBreak/>
        <w:t>“</w:t>
      </w:r>
      <w:r w:rsidR="002C40B1" w:rsidRPr="00FF48FF">
        <w:rPr>
          <w:rFonts w:ascii="Palatino Linotype" w:hAnsi="Palatino Linotype"/>
          <w:i/>
        </w:rPr>
        <w:t xml:space="preserve">Artículo 8.- Los documentos de contenido administrativo de importancia, serán conservados por 20 años, y si el documento se vincula con las funciones de 2 </w:t>
      </w:r>
      <w:proofErr w:type="spellStart"/>
      <w:r w:rsidR="002C40B1" w:rsidRPr="00FF48FF">
        <w:rPr>
          <w:rFonts w:ascii="Palatino Linotype" w:hAnsi="Palatino Linotype"/>
          <w:i/>
        </w:rPr>
        <w:t>ó</w:t>
      </w:r>
      <w:proofErr w:type="spellEnd"/>
      <w:r w:rsidR="002C40B1" w:rsidRPr="00FF48FF">
        <w:rPr>
          <w:rFonts w:ascii="Palatino Linotype" w:hAnsi="Palatino Linotype"/>
          <w:i/>
        </w:rPr>
        <w:t xml:space="preserve"> más sujetos públicos, deberá transmitirse la información correspondiente, para el efecto, del proceso o vaciado en otros documentos. </w:t>
      </w:r>
    </w:p>
    <w:p w:rsidR="002C40B1" w:rsidRPr="00FF48FF" w:rsidRDefault="002C40B1" w:rsidP="00FF48FF">
      <w:pPr>
        <w:pStyle w:val="Sinespaciado"/>
        <w:ind w:left="851" w:right="567"/>
        <w:jc w:val="both"/>
        <w:rPr>
          <w:rFonts w:ascii="Palatino Linotype" w:eastAsia="Calibri" w:hAnsi="Palatino Linotype" w:cs="Arial"/>
          <w:i/>
          <w:lang w:val="es-ES" w:eastAsia="es-MX"/>
        </w:rPr>
      </w:pPr>
      <w:r w:rsidRPr="00FF48FF">
        <w:rPr>
          <w:rFonts w:ascii="Palatino Linotype" w:hAnsi="Palatino Linotype"/>
          <w:i/>
        </w:rPr>
        <w:t>Ningún documento podrá ser destruido, a menos, que, por escrito, lo determine la instancia facultada para ese efecto, en términos de la presente Ley.</w:t>
      </w:r>
      <w:r w:rsidR="00FF48FF">
        <w:rPr>
          <w:rFonts w:ascii="Palatino Linotype" w:hAnsi="Palatino Linotype"/>
          <w:i/>
        </w:rPr>
        <w:t>”</w:t>
      </w:r>
    </w:p>
    <w:p w:rsidR="002C40B1" w:rsidRPr="00855363" w:rsidRDefault="002C40B1" w:rsidP="002C40B1">
      <w:pPr>
        <w:pStyle w:val="Prrafodelista"/>
        <w:spacing w:line="360" w:lineRule="auto"/>
        <w:jc w:val="both"/>
        <w:rPr>
          <w:rFonts w:ascii="Palatino Linotype" w:eastAsia="Calibri" w:hAnsi="Palatino Linotype" w:cs="Arial"/>
          <w:highlight w:val="yellow"/>
          <w:lang w:val="es-ES" w:eastAsia="es-MX"/>
        </w:rPr>
      </w:pPr>
    </w:p>
    <w:p w:rsidR="002C40B1" w:rsidRPr="00855363" w:rsidRDefault="002C40B1"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De los preceptos legales citados, se entiende que es deber de todos los </w:t>
      </w:r>
      <w:r w:rsidRPr="00855363">
        <w:rPr>
          <w:rFonts w:ascii="Palatino Linotype" w:eastAsia="Calibri" w:hAnsi="Palatino Linotype" w:cs="Arial"/>
          <w:b/>
          <w:lang w:val="es-ES" w:eastAsia="es-MX"/>
        </w:rPr>
        <w:t>SUJETOS OBLIGADOS</w:t>
      </w:r>
      <w:r w:rsidRPr="00855363">
        <w:rPr>
          <w:rFonts w:ascii="Palatino Linotype" w:eastAsia="Calibri" w:hAnsi="Palatino Linotype" w:cs="Arial"/>
          <w:lang w:val="es-ES" w:eastAsia="es-MX"/>
        </w:rPr>
        <w:t xml:space="preserve"> documentar toda la información que se genere derivado de sus facultades, atribuciones y competencias, en este caso </w:t>
      </w:r>
      <w:r w:rsidR="00DD390C" w:rsidRPr="00855363">
        <w:rPr>
          <w:rFonts w:ascii="Palatino Linotype" w:eastAsia="Calibri" w:hAnsi="Palatino Linotype" w:cs="Arial"/>
          <w:lang w:val="es-ES" w:eastAsia="es-MX"/>
        </w:rPr>
        <w:t>e</w:t>
      </w:r>
      <w:r w:rsidR="00FF48FF">
        <w:rPr>
          <w:rFonts w:ascii="Palatino Linotype" w:eastAsia="Calibri" w:hAnsi="Palatino Linotype" w:cs="Arial"/>
          <w:lang w:val="es-ES" w:eastAsia="es-MX"/>
        </w:rPr>
        <w:t xml:space="preserve">n particular, es obligación de </w:t>
      </w:r>
      <w:r w:rsidR="00DD390C" w:rsidRPr="00855363">
        <w:rPr>
          <w:rFonts w:ascii="Palatino Linotype" w:eastAsia="Calibri" w:hAnsi="Palatino Linotype" w:cs="Arial"/>
          <w:lang w:val="es-ES" w:eastAsia="es-MX"/>
        </w:rPr>
        <w:t xml:space="preserve">los Diputados </w:t>
      </w:r>
      <w:r w:rsidRPr="00855363">
        <w:rPr>
          <w:rFonts w:ascii="Palatino Linotype" w:eastAsia="Calibri" w:hAnsi="Palatino Linotype" w:cs="Arial"/>
          <w:lang w:val="es-ES" w:eastAsia="es-MX"/>
        </w:rPr>
        <w:t>documentar toda la información que se genera derivado del cargo que ostenta</w:t>
      </w:r>
      <w:r w:rsidR="00DD390C" w:rsidRPr="00855363">
        <w:rPr>
          <w:rFonts w:ascii="Palatino Linotype" w:eastAsia="Calibri" w:hAnsi="Palatino Linotype" w:cs="Arial"/>
          <w:lang w:val="es-ES" w:eastAsia="es-MX"/>
        </w:rPr>
        <w:t>n</w:t>
      </w:r>
      <w:r w:rsidRPr="00855363">
        <w:rPr>
          <w:rFonts w:ascii="Palatino Linotype" w:eastAsia="Calibri" w:hAnsi="Palatino Linotype" w:cs="Arial"/>
          <w:lang w:val="es-ES" w:eastAsia="es-MX"/>
        </w:rPr>
        <w:t xml:space="preserve"> y de las actividades que desempeña</w:t>
      </w:r>
      <w:r w:rsidR="00DD390C" w:rsidRPr="00855363">
        <w:rPr>
          <w:rFonts w:ascii="Palatino Linotype" w:eastAsia="Calibri" w:hAnsi="Palatino Linotype" w:cs="Arial"/>
          <w:lang w:val="es-ES" w:eastAsia="es-MX"/>
        </w:rPr>
        <w:t>n</w:t>
      </w:r>
      <w:r w:rsidRPr="00855363">
        <w:rPr>
          <w:rFonts w:ascii="Palatino Linotype" w:eastAsia="Calibri" w:hAnsi="Palatino Linotype" w:cs="Arial"/>
          <w:lang w:val="es-ES" w:eastAsia="es-MX"/>
        </w:rPr>
        <w:t xml:space="preserve">, y entendido que dentro de lo mencionado encuadra lo que está solicitando </w:t>
      </w:r>
      <w:r w:rsidR="00FF48FF">
        <w:rPr>
          <w:rFonts w:ascii="Palatino Linotype" w:eastAsia="Calibri" w:hAnsi="Palatino Linotype" w:cs="Arial"/>
          <w:lang w:val="es-ES" w:eastAsia="es-MX"/>
        </w:rPr>
        <w:t>el</w:t>
      </w:r>
      <w:r w:rsidRPr="00855363">
        <w:rPr>
          <w:rFonts w:ascii="Palatino Linotype" w:eastAsia="Calibri" w:hAnsi="Palatino Linotype" w:cs="Arial"/>
          <w:lang w:val="es-ES" w:eastAsia="es-MX"/>
        </w:rPr>
        <w:t xml:space="preserve"> </w:t>
      </w:r>
      <w:r w:rsidR="00FF48FF">
        <w:rPr>
          <w:rFonts w:ascii="Palatino Linotype" w:eastAsia="Calibri" w:hAnsi="Palatino Linotype" w:cs="Arial"/>
          <w:b/>
          <w:lang w:val="es-ES" w:eastAsia="es-MX"/>
        </w:rPr>
        <w:t>RECURRENTE</w:t>
      </w:r>
      <w:r w:rsidRPr="00855363">
        <w:rPr>
          <w:rFonts w:ascii="Palatino Linotype" w:eastAsia="Calibri" w:hAnsi="Palatino Linotype" w:cs="Arial"/>
          <w:lang w:val="es-ES" w:eastAsia="es-MX"/>
        </w:rPr>
        <w:t xml:space="preserve">, se presume que la información debe existir. Por su parte los Lineamientos para la Administración de Documentos en el Estado de México  en sus artículos 4, fracción VI, 61, fracciones I, II, III, 63, 64, 66 fracciones VII y XIII establecen lo siguiente: </w:t>
      </w:r>
    </w:p>
    <w:p w:rsidR="002C40B1" w:rsidRPr="00FF48FF" w:rsidRDefault="00FF48FF" w:rsidP="00FF48FF">
      <w:pPr>
        <w:pStyle w:val="Sinespaciado"/>
        <w:ind w:left="851" w:right="567"/>
        <w:jc w:val="both"/>
        <w:rPr>
          <w:rFonts w:ascii="Palatino Linotype" w:hAnsi="Palatino Linotype"/>
          <w:i/>
        </w:rPr>
      </w:pPr>
      <w:r>
        <w:rPr>
          <w:rFonts w:ascii="Palatino Linotype" w:hAnsi="Palatino Linotype"/>
          <w:b/>
          <w:i/>
        </w:rPr>
        <w:t>“</w:t>
      </w:r>
      <w:r w:rsidR="002C40B1" w:rsidRPr="00FF48FF">
        <w:rPr>
          <w:rFonts w:ascii="Palatino Linotype" w:hAnsi="Palatino Linotype"/>
          <w:b/>
          <w:i/>
        </w:rPr>
        <w:t>Artículo 4.</w:t>
      </w:r>
      <w:r w:rsidR="002C40B1" w:rsidRPr="00FF48FF">
        <w:rPr>
          <w:rFonts w:ascii="Palatino Linotype" w:hAnsi="Palatino Linotype"/>
          <w:i/>
        </w:rPr>
        <w:t xml:space="preserve"> Para los efectos de interpretación y aplicación de los Lineamientos se entenderá por:</w:t>
      </w:r>
    </w:p>
    <w:p w:rsidR="005A61A9" w:rsidRPr="00FF48FF" w:rsidRDefault="00FF48FF" w:rsidP="00FF48FF">
      <w:pPr>
        <w:pStyle w:val="Sinespaciado"/>
        <w:ind w:left="851" w:right="567"/>
        <w:jc w:val="both"/>
        <w:rPr>
          <w:rFonts w:ascii="Palatino Linotype" w:hAnsi="Palatino Linotype"/>
          <w:i/>
        </w:rPr>
      </w:pPr>
      <w:r>
        <w:rPr>
          <w:rFonts w:ascii="Palatino Linotype" w:hAnsi="Palatino Linotype"/>
          <w:b/>
          <w:i/>
        </w:rPr>
        <w:t>(</w:t>
      </w:r>
      <w:r w:rsidR="005A61A9" w:rsidRPr="00FF48FF">
        <w:rPr>
          <w:rFonts w:ascii="Palatino Linotype" w:hAnsi="Palatino Linotype"/>
          <w:b/>
          <w:i/>
        </w:rPr>
        <w:t>…</w:t>
      </w:r>
      <w:r>
        <w:rPr>
          <w:rFonts w:ascii="Palatino Linotype" w:hAnsi="Palatino Linotype"/>
          <w:b/>
          <w:i/>
        </w:rPr>
        <w:t>)</w:t>
      </w:r>
    </w:p>
    <w:p w:rsidR="002C40B1" w:rsidRPr="00FF48FF" w:rsidRDefault="002C40B1" w:rsidP="00FF48FF">
      <w:pPr>
        <w:pStyle w:val="Sinespaciado"/>
        <w:ind w:left="851" w:right="567"/>
        <w:jc w:val="both"/>
        <w:rPr>
          <w:rFonts w:ascii="Palatino Linotype" w:hAnsi="Palatino Linotype"/>
          <w:i/>
        </w:rPr>
      </w:pPr>
      <w:r w:rsidRPr="00FF48FF">
        <w:rPr>
          <w:rFonts w:ascii="Palatino Linotype" w:hAnsi="Palatino Linotype"/>
          <w:i/>
        </w:rPr>
        <w:t>VI. Archivo de Trámite: Conjunto organizado de expedientes de asuntos en gestión, ordenados conforme a un método y cuya consulta es frecuente y necesaria para una adecuada toma de decisiones y el despacho oportuno de los asuntos propios de una Unidad Administrativa, así como la unidad responsable de la gestión de documentos de uso cotidiano y necesario para el ejercicio de las atribuciones de una Unidad Administrativa.</w:t>
      </w:r>
    </w:p>
    <w:p w:rsidR="002C40B1" w:rsidRPr="00FF48FF" w:rsidRDefault="002C40B1" w:rsidP="00FF48FF">
      <w:pPr>
        <w:pStyle w:val="Sinespaciado"/>
        <w:ind w:left="851" w:right="567"/>
        <w:jc w:val="both"/>
        <w:rPr>
          <w:rFonts w:ascii="Palatino Linotype" w:hAnsi="Palatino Linotype"/>
          <w:i/>
        </w:rPr>
      </w:pPr>
    </w:p>
    <w:p w:rsidR="00DD390C" w:rsidRPr="00FF48FF" w:rsidRDefault="002C40B1" w:rsidP="00FF48FF">
      <w:pPr>
        <w:pStyle w:val="Sinespaciado"/>
        <w:ind w:left="851" w:right="567"/>
        <w:jc w:val="both"/>
        <w:rPr>
          <w:rFonts w:ascii="Palatino Linotype" w:hAnsi="Palatino Linotype"/>
          <w:i/>
        </w:rPr>
      </w:pPr>
      <w:r w:rsidRPr="00FF48FF">
        <w:rPr>
          <w:rFonts w:ascii="Palatino Linotype" w:hAnsi="Palatino Linotype"/>
          <w:b/>
          <w:i/>
        </w:rPr>
        <w:t>Artículo 61.</w:t>
      </w:r>
      <w:r w:rsidRPr="00FF48FF">
        <w:rPr>
          <w:rFonts w:ascii="Palatino Linotype" w:hAnsi="Palatino Linotype"/>
          <w:i/>
        </w:rPr>
        <w:t xml:space="preserve"> El ciclo de vida de los documentos de Archivo se corresponderá con las siguientes fases:</w:t>
      </w:r>
    </w:p>
    <w:p w:rsidR="002C40B1" w:rsidRPr="00FF48FF" w:rsidRDefault="002C40B1" w:rsidP="00FF48FF">
      <w:pPr>
        <w:pStyle w:val="Sinespaciado"/>
        <w:ind w:left="851" w:right="567"/>
        <w:jc w:val="both"/>
        <w:rPr>
          <w:rFonts w:ascii="Palatino Linotype" w:hAnsi="Palatino Linotype"/>
          <w:i/>
        </w:rPr>
      </w:pPr>
      <w:r w:rsidRPr="00FF48FF">
        <w:rPr>
          <w:rFonts w:ascii="Palatino Linotype" w:hAnsi="Palatino Linotype"/>
          <w:i/>
        </w:rPr>
        <w:lastRenderedPageBreak/>
        <w:t xml:space="preserve">Fase Activa. Etapa en la que los documentos están en un período de tramitación y se utilizan constantemente por parte de la Unidad Administrativa que los generó o recibió, y se ubican en el Archivo de Trámite; </w:t>
      </w:r>
    </w:p>
    <w:p w:rsidR="00DD390C" w:rsidRPr="00FF48FF" w:rsidRDefault="002C40B1" w:rsidP="00FF48FF">
      <w:pPr>
        <w:pStyle w:val="Sinespaciado"/>
        <w:ind w:left="851" w:right="567"/>
        <w:jc w:val="both"/>
        <w:rPr>
          <w:rFonts w:ascii="Palatino Linotype" w:hAnsi="Palatino Linotype"/>
          <w:i/>
        </w:rPr>
      </w:pPr>
      <w:r w:rsidRPr="00FF48FF">
        <w:rPr>
          <w:rFonts w:ascii="Palatino Linotype" w:hAnsi="Palatino Linotype"/>
          <w:i/>
        </w:rPr>
        <w:t xml:space="preserve">Fase </w:t>
      </w:r>
      <w:proofErr w:type="spellStart"/>
      <w:r w:rsidRPr="00FF48FF">
        <w:rPr>
          <w:rFonts w:ascii="Palatino Linotype" w:hAnsi="Palatino Linotype"/>
          <w:i/>
        </w:rPr>
        <w:t>Semiactiva</w:t>
      </w:r>
      <w:proofErr w:type="spellEnd"/>
      <w:r w:rsidRPr="00FF48FF">
        <w:rPr>
          <w:rFonts w:ascii="Palatino Linotype" w:hAnsi="Palatino Linotype"/>
          <w:i/>
        </w:rPr>
        <w:t xml:space="preserve">. Período en el que los documentos, una vez concluido su trámite, mantienen un valor administrativo pero ya no son de uso frecuente por parte de la Unidad Administrativa que los generó o recibió y se resguardan en el Archivo de Concentración; y </w:t>
      </w:r>
    </w:p>
    <w:p w:rsidR="00AF4D88" w:rsidRPr="00FF48FF" w:rsidRDefault="00AF4D88" w:rsidP="00FF48FF">
      <w:pPr>
        <w:pStyle w:val="Sinespaciado"/>
        <w:ind w:left="851" w:right="567"/>
        <w:jc w:val="both"/>
        <w:rPr>
          <w:rFonts w:ascii="Palatino Linotype" w:hAnsi="Palatino Linotype"/>
          <w:i/>
        </w:rPr>
      </w:pPr>
    </w:p>
    <w:p w:rsidR="002C40B1" w:rsidRPr="00FF48FF" w:rsidRDefault="002C40B1" w:rsidP="00FF48FF">
      <w:pPr>
        <w:pStyle w:val="Sinespaciado"/>
        <w:ind w:left="851" w:right="567"/>
        <w:jc w:val="both"/>
        <w:rPr>
          <w:rFonts w:ascii="Palatino Linotype" w:hAnsi="Palatino Linotype"/>
          <w:i/>
        </w:rPr>
      </w:pPr>
      <w:r w:rsidRPr="00FF48FF">
        <w:rPr>
          <w:rFonts w:ascii="Palatino Linotype" w:hAnsi="Palatino Linotype"/>
          <w:i/>
        </w:rPr>
        <w:t>Fase Inactiva. Etapa en la que los documentos, una vez fenecido su valor primario, se consideran de utilidad para el desarrollo de la investigación y por lo cual se conservan de manera permanente en el Archivo Histórico.</w:t>
      </w:r>
    </w:p>
    <w:p w:rsidR="00FF48FF" w:rsidRDefault="00FF48FF" w:rsidP="00FF48FF">
      <w:pPr>
        <w:pStyle w:val="Sinespaciado"/>
        <w:ind w:left="851" w:right="567"/>
        <w:jc w:val="both"/>
        <w:rPr>
          <w:rFonts w:ascii="Palatino Linotype" w:hAnsi="Palatino Linotype"/>
          <w:b/>
          <w:i/>
        </w:rPr>
      </w:pPr>
    </w:p>
    <w:p w:rsidR="002C40B1" w:rsidRPr="00FF48FF" w:rsidRDefault="002C40B1" w:rsidP="00FF48FF">
      <w:pPr>
        <w:pStyle w:val="Sinespaciado"/>
        <w:ind w:left="851" w:right="567"/>
        <w:jc w:val="both"/>
        <w:rPr>
          <w:rFonts w:ascii="Palatino Linotype" w:hAnsi="Palatino Linotype"/>
          <w:i/>
        </w:rPr>
      </w:pPr>
      <w:r w:rsidRPr="00FF48FF">
        <w:rPr>
          <w:rFonts w:ascii="Palatino Linotype" w:hAnsi="Palatino Linotype"/>
          <w:b/>
          <w:i/>
        </w:rPr>
        <w:t>Artículo 63</w:t>
      </w:r>
      <w:r w:rsidRPr="00FF48FF">
        <w:rPr>
          <w:rFonts w:ascii="Palatino Linotype" w:hAnsi="Palatino Linotype"/>
          <w:i/>
        </w:rPr>
        <w:t xml:space="preserve">. Atendiendo al ciclo de vida de los documentos, los Archivos integrantes del Sistema se clasificarán en: </w:t>
      </w:r>
    </w:p>
    <w:p w:rsidR="002C40B1" w:rsidRPr="00FF48FF" w:rsidRDefault="002C40B1" w:rsidP="00FF48FF">
      <w:pPr>
        <w:pStyle w:val="Sinespaciado"/>
        <w:ind w:left="851" w:right="567"/>
        <w:jc w:val="both"/>
        <w:rPr>
          <w:rFonts w:ascii="Palatino Linotype" w:hAnsi="Palatino Linotype"/>
          <w:i/>
        </w:rPr>
      </w:pPr>
      <w:r w:rsidRPr="00FF48FF">
        <w:rPr>
          <w:rFonts w:ascii="Palatino Linotype" w:hAnsi="Palatino Linotype"/>
          <w:i/>
        </w:rPr>
        <w:t xml:space="preserve">Archivos de Trámite o de Oficina; </w:t>
      </w:r>
    </w:p>
    <w:p w:rsidR="002C40B1" w:rsidRPr="00FF48FF" w:rsidRDefault="002C40B1" w:rsidP="00FF48FF">
      <w:pPr>
        <w:pStyle w:val="Sinespaciado"/>
        <w:ind w:left="851" w:right="567"/>
        <w:jc w:val="both"/>
        <w:rPr>
          <w:rFonts w:ascii="Palatino Linotype" w:hAnsi="Palatino Linotype"/>
          <w:i/>
        </w:rPr>
      </w:pPr>
      <w:r w:rsidRPr="00FF48FF">
        <w:rPr>
          <w:rFonts w:ascii="Palatino Linotype" w:hAnsi="Palatino Linotype"/>
          <w:i/>
        </w:rPr>
        <w:t xml:space="preserve">Archivos de Concentración o Generales; y </w:t>
      </w:r>
    </w:p>
    <w:p w:rsidR="002C40B1" w:rsidRPr="00FF48FF" w:rsidRDefault="002C40B1" w:rsidP="00FF48FF">
      <w:pPr>
        <w:pStyle w:val="Sinespaciado"/>
        <w:ind w:left="851" w:right="567"/>
        <w:jc w:val="both"/>
        <w:rPr>
          <w:rFonts w:ascii="Palatino Linotype" w:hAnsi="Palatino Linotype"/>
          <w:i/>
        </w:rPr>
      </w:pPr>
      <w:r w:rsidRPr="00FF48FF">
        <w:rPr>
          <w:rFonts w:ascii="Palatino Linotype" w:hAnsi="Palatino Linotype"/>
          <w:i/>
        </w:rPr>
        <w:t>Archivos Históricos.</w:t>
      </w:r>
    </w:p>
    <w:p w:rsidR="002C40B1" w:rsidRPr="00FF48FF" w:rsidRDefault="002C40B1" w:rsidP="00FF48FF">
      <w:pPr>
        <w:pStyle w:val="Sinespaciado"/>
        <w:ind w:left="851" w:right="567"/>
        <w:jc w:val="both"/>
        <w:rPr>
          <w:rFonts w:ascii="Palatino Linotype" w:eastAsia="Calibri" w:hAnsi="Palatino Linotype" w:cs="Arial"/>
          <w:i/>
          <w:lang w:val="es-ES" w:eastAsia="es-MX"/>
        </w:rPr>
      </w:pPr>
    </w:p>
    <w:p w:rsidR="002C40B1" w:rsidRPr="00FF48FF" w:rsidRDefault="002C40B1" w:rsidP="00FF48FF">
      <w:pPr>
        <w:pStyle w:val="Sinespaciado"/>
        <w:ind w:left="851" w:right="567"/>
        <w:jc w:val="both"/>
        <w:rPr>
          <w:rFonts w:ascii="Palatino Linotype" w:hAnsi="Palatino Linotype"/>
          <w:i/>
        </w:rPr>
      </w:pPr>
      <w:r w:rsidRPr="00FF48FF">
        <w:rPr>
          <w:rFonts w:ascii="Palatino Linotype" w:hAnsi="Palatino Linotype"/>
          <w:b/>
          <w:i/>
        </w:rPr>
        <w:t>Artículo 64.</w:t>
      </w:r>
      <w:r w:rsidRPr="00FF48FF">
        <w:rPr>
          <w:rFonts w:ascii="Palatino Linotype" w:hAnsi="Palatino Linotype"/>
          <w:i/>
        </w:rPr>
        <w:t xml:space="preserve"> En cada Unidad Administrativa de los Sujetos Obligados se integrará un Archivo de Trámite, que será la unidad archivística responsable de la gestión de los documentos de uso cotidiano y necesario para el ejercicio de las atribuciones del órgano productor.</w:t>
      </w:r>
    </w:p>
    <w:p w:rsidR="005A61A9" w:rsidRPr="00FF48FF" w:rsidRDefault="005A61A9" w:rsidP="00FF48FF">
      <w:pPr>
        <w:pStyle w:val="Sinespaciado"/>
        <w:ind w:left="851" w:right="567"/>
        <w:jc w:val="both"/>
        <w:rPr>
          <w:rFonts w:ascii="Palatino Linotype" w:hAnsi="Palatino Linotype"/>
          <w:i/>
        </w:rPr>
      </w:pPr>
    </w:p>
    <w:p w:rsidR="002C40B1" w:rsidRPr="00FF48FF" w:rsidRDefault="002C40B1" w:rsidP="00FF48FF">
      <w:pPr>
        <w:pStyle w:val="Sinespaciado"/>
        <w:ind w:left="851" w:right="567"/>
        <w:jc w:val="both"/>
        <w:rPr>
          <w:rFonts w:ascii="Palatino Linotype" w:hAnsi="Palatino Linotype"/>
          <w:i/>
        </w:rPr>
      </w:pPr>
      <w:r w:rsidRPr="00FF48FF">
        <w:rPr>
          <w:rFonts w:ascii="Palatino Linotype" w:hAnsi="Palatino Linotype"/>
          <w:b/>
          <w:i/>
        </w:rPr>
        <w:t>Artículo 66.</w:t>
      </w:r>
      <w:r w:rsidRPr="00FF48FF">
        <w:rPr>
          <w:rFonts w:ascii="Palatino Linotype" w:hAnsi="Palatino Linotype"/>
          <w:i/>
        </w:rPr>
        <w:t xml:space="preserve"> El responsable del Archivo de Trámite tendrá las siguientes funciones:</w:t>
      </w:r>
    </w:p>
    <w:p w:rsidR="002C40B1" w:rsidRPr="00FF48FF" w:rsidRDefault="00FF48FF" w:rsidP="00FF48FF">
      <w:pPr>
        <w:pStyle w:val="Sinespaciado"/>
        <w:ind w:left="851" w:right="567"/>
        <w:jc w:val="both"/>
        <w:rPr>
          <w:rFonts w:ascii="Palatino Linotype" w:hAnsi="Palatino Linotype"/>
          <w:i/>
        </w:rPr>
      </w:pPr>
      <w:r>
        <w:rPr>
          <w:rFonts w:ascii="Palatino Linotype" w:hAnsi="Palatino Linotype"/>
          <w:i/>
        </w:rPr>
        <w:t>(</w:t>
      </w:r>
      <w:r w:rsidR="005A61A9" w:rsidRPr="00FF48FF">
        <w:rPr>
          <w:rFonts w:ascii="Palatino Linotype" w:hAnsi="Palatino Linotype"/>
          <w:i/>
        </w:rPr>
        <w:t>…</w:t>
      </w:r>
      <w:r>
        <w:rPr>
          <w:rFonts w:ascii="Palatino Linotype" w:hAnsi="Palatino Linotype"/>
          <w:i/>
        </w:rPr>
        <w:t>(</w:t>
      </w:r>
    </w:p>
    <w:p w:rsidR="002C40B1" w:rsidRDefault="002C40B1" w:rsidP="00FF48FF">
      <w:pPr>
        <w:pStyle w:val="Sinespaciado"/>
        <w:ind w:left="851" w:right="567"/>
        <w:jc w:val="both"/>
        <w:rPr>
          <w:rFonts w:ascii="Palatino Linotype" w:hAnsi="Palatino Linotype"/>
          <w:i/>
        </w:rPr>
      </w:pPr>
      <w:r w:rsidRPr="00FF48FF">
        <w:rPr>
          <w:rFonts w:ascii="Palatino Linotype" w:hAnsi="Palatino Linotype"/>
          <w:i/>
        </w:rPr>
        <w:t>VII. Llevar un control efectivo de la documentación, a través de la elaboración del Inventario General de Archivo, desde su ingreso hasta su transferencia primaria, verificando la correcta aplicación de las normas existentes en materia archivística;</w:t>
      </w:r>
    </w:p>
    <w:p w:rsidR="00FF48FF" w:rsidRPr="00FF48FF" w:rsidRDefault="00FF48FF" w:rsidP="00FF48FF">
      <w:pPr>
        <w:pStyle w:val="Sinespaciado"/>
        <w:ind w:left="851" w:right="567"/>
        <w:jc w:val="both"/>
        <w:rPr>
          <w:rFonts w:ascii="Palatino Linotype" w:hAnsi="Palatino Linotype"/>
          <w:i/>
        </w:rPr>
      </w:pPr>
      <w:r>
        <w:rPr>
          <w:rFonts w:ascii="Palatino Linotype" w:hAnsi="Palatino Linotype"/>
          <w:i/>
        </w:rPr>
        <w:t>(…)</w:t>
      </w:r>
    </w:p>
    <w:p w:rsidR="002C40B1" w:rsidRPr="00FF48FF" w:rsidRDefault="002C40B1" w:rsidP="00FF48FF">
      <w:pPr>
        <w:pStyle w:val="Sinespaciado"/>
        <w:ind w:left="851" w:right="567"/>
        <w:jc w:val="both"/>
        <w:rPr>
          <w:rFonts w:ascii="Palatino Linotype" w:hAnsi="Palatino Linotype"/>
          <w:i/>
        </w:rPr>
      </w:pPr>
      <w:r w:rsidRPr="00FF48FF">
        <w:rPr>
          <w:rFonts w:ascii="Palatino Linotype" w:hAnsi="Palatino Linotype"/>
          <w:i/>
        </w:rPr>
        <w:t>XIII. Ejecutar acciones de seguimiento que garanticen la localización expedita y conservación de los documentos del Archivo de Trámite;</w:t>
      </w:r>
      <w:r w:rsidR="00FF48FF">
        <w:rPr>
          <w:rFonts w:ascii="Palatino Linotype" w:hAnsi="Palatino Linotype"/>
          <w:i/>
        </w:rPr>
        <w:t>”</w:t>
      </w:r>
    </w:p>
    <w:p w:rsidR="002C40B1" w:rsidRPr="005A61A9" w:rsidRDefault="002C40B1" w:rsidP="005D4862">
      <w:pPr>
        <w:pStyle w:val="Prrafodelista"/>
        <w:autoSpaceDE w:val="0"/>
        <w:autoSpaceDN w:val="0"/>
        <w:adjustRightInd w:val="0"/>
        <w:spacing w:after="160" w:line="360" w:lineRule="auto"/>
        <w:ind w:left="567" w:right="50"/>
        <w:jc w:val="both"/>
        <w:rPr>
          <w:rFonts w:ascii="Palatino Linotype" w:eastAsia="Calibri" w:hAnsi="Palatino Linotype" w:cs="Arial"/>
          <w:sz w:val="22"/>
          <w:szCs w:val="22"/>
          <w:lang w:val="es-ES" w:eastAsia="es-MX"/>
        </w:rPr>
      </w:pPr>
    </w:p>
    <w:p w:rsidR="002C40B1" w:rsidRPr="00855363" w:rsidRDefault="002C40B1"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De los lineamientos insertos se deduce que los Diputados miembros del Congreso del Estado de México ejerciendo el Programa de Apoyo a la Comunidad </w:t>
      </w:r>
      <w:r w:rsidRPr="00855363">
        <w:rPr>
          <w:rFonts w:ascii="Palatino Linotype" w:eastAsia="Calibri" w:hAnsi="Palatino Linotype" w:cs="Arial"/>
          <w:lang w:val="es-ES" w:eastAsia="es-MX"/>
        </w:rPr>
        <w:lastRenderedPageBreak/>
        <w:t>deben documentar todo lo que de ello se derive, dado que es su obligación, asimismo, las documentales que emanen del referido programa son consideradas como archivo de trámite por encuadrar bajo ese supuesto, toda vez que son archivos en gestión ante la Secretaría de Finanzas, y como resultado se debe tener baj</w:t>
      </w:r>
      <w:r w:rsidR="00DD390C" w:rsidRPr="00855363">
        <w:rPr>
          <w:rFonts w:ascii="Palatino Linotype" w:eastAsia="Calibri" w:hAnsi="Palatino Linotype" w:cs="Arial"/>
          <w:lang w:val="es-ES" w:eastAsia="es-MX"/>
        </w:rPr>
        <w:t>o resguardo en las oficinas de l</w:t>
      </w:r>
      <w:r w:rsidRPr="00855363">
        <w:rPr>
          <w:rFonts w:ascii="Palatino Linotype" w:eastAsia="Calibri" w:hAnsi="Palatino Linotype" w:cs="Arial"/>
          <w:lang w:val="es-ES" w:eastAsia="es-MX"/>
        </w:rPr>
        <w:t>o</w:t>
      </w:r>
      <w:r w:rsidR="00DD390C" w:rsidRPr="00855363">
        <w:rPr>
          <w:rFonts w:ascii="Palatino Linotype" w:eastAsia="Calibri" w:hAnsi="Palatino Linotype" w:cs="Arial"/>
          <w:lang w:val="es-ES" w:eastAsia="es-MX"/>
        </w:rPr>
        <w:t>s</w:t>
      </w:r>
      <w:r w:rsidRPr="00855363">
        <w:rPr>
          <w:rFonts w:ascii="Palatino Linotype" w:eastAsia="Calibri" w:hAnsi="Palatino Linotype" w:cs="Arial"/>
          <w:lang w:val="es-ES" w:eastAsia="es-MX"/>
        </w:rPr>
        <w:t xml:space="preserve"> </w:t>
      </w:r>
      <w:r w:rsidR="00DD390C" w:rsidRPr="00855363">
        <w:rPr>
          <w:rFonts w:ascii="Palatino Linotype" w:eastAsia="Calibri" w:hAnsi="Palatino Linotype" w:cs="Arial"/>
          <w:lang w:val="es-ES" w:eastAsia="es-MX"/>
        </w:rPr>
        <w:t xml:space="preserve">Diputados o </w:t>
      </w:r>
      <w:r w:rsidRPr="00855363">
        <w:rPr>
          <w:rFonts w:ascii="Palatino Linotype" w:eastAsia="Calibri" w:hAnsi="Palatino Linotype" w:cs="Arial"/>
          <w:lang w:val="es-ES" w:eastAsia="es-MX"/>
        </w:rPr>
        <w:t xml:space="preserve">en su defecto bajo resguardo del responsable de archivo de trámite, sin embargo resulta imperante mencionar que es deber de la Unidad de Transparencia del </w:t>
      </w:r>
      <w:r w:rsidRPr="00855363">
        <w:rPr>
          <w:rFonts w:ascii="Palatino Linotype" w:eastAsia="Calibri" w:hAnsi="Palatino Linotype" w:cs="Arial"/>
          <w:b/>
          <w:lang w:val="es-ES" w:eastAsia="es-MX"/>
        </w:rPr>
        <w:t>SUJETO OBLIGADO</w:t>
      </w:r>
      <w:r w:rsidRPr="00855363">
        <w:rPr>
          <w:rFonts w:ascii="Palatino Linotype" w:eastAsia="Calibri" w:hAnsi="Palatino Linotype" w:cs="Arial"/>
          <w:lang w:val="es-ES" w:eastAsia="es-MX"/>
        </w:rPr>
        <w:t xml:space="preserve"> turnar la solicitud al área o las áreas correspondientes de tal modo que se localice lo solicitado para colmar con el Derecho de Acceso a la Información de</w:t>
      </w:r>
      <w:r w:rsidR="00FF48FF">
        <w:rPr>
          <w:rFonts w:ascii="Palatino Linotype" w:eastAsia="Calibri" w:hAnsi="Palatino Linotype" w:cs="Arial"/>
          <w:lang w:val="es-ES" w:eastAsia="es-MX"/>
        </w:rPr>
        <w:t>l</w:t>
      </w:r>
      <w:r w:rsidRPr="00855363">
        <w:rPr>
          <w:rFonts w:ascii="Palatino Linotype" w:eastAsia="Calibri" w:hAnsi="Palatino Linotype" w:cs="Arial"/>
          <w:lang w:val="es-ES" w:eastAsia="es-MX"/>
        </w:rPr>
        <w:t xml:space="preserve"> </w:t>
      </w:r>
      <w:r w:rsidR="00FF48FF" w:rsidRPr="00FF48FF">
        <w:rPr>
          <w:rFonts w:ascii="Palatino Linotype" w:eastAsia="Calibri" w:hAnsi="Palatino Linotype" w:cs="Arial"/>
          <w:b/>
          <w:lang w:val="es-ES" w:eastAsia="es-MX"/>
        </w:rPr>
        <w:t>RECURRENTE</w:t>
      </w:r>
      <w:r w:rsidRPr="00855363">
        <w:rPr>
          <w:rFonts w:ascii="Palatino Linotype" w:eastAsia="Calibri" w:hAnsi="Palatino Linotype" w:cs="Arial"/>
          <w:lang w:val="es-ES" w:eastAsia="es-MX"/>
        </w:rPr>
        <w:t>.</w:t>
      </w:r>
    </w:p>
    <w:p w:rsidR="002C40B1" w:rsidRPr="00855363" w:rsidRDefault="002C40B1" w:rsidP="0027464F">
      <w:pPr>
        <w:pStyle w:val="Prrafodelista"/>
        <w:tabs>
          <w:tab w:val="left" w:pos="426"/>
        </w:tabs>
        <w:autoSpaceDE w:val="0"/>
        <w:autoSpaceDN w:val="0"/>
        <w:adjustRightInd w:val="0"/>
        <w:spacing w:after="160" w:line="360" w:lineRule="auto"/>
        <w:ind w:left="0" w:right="50"/>
        <w:jc w:val="both"/>
        <w:rPr>
          <w:rFonts w:ascii="Palatino Linotype" w:eastAsia="Calibri" w:hAnsi="Palatino Linotype" w:cs="Arial"/>
          <w:lang w:val="es-ES" w:eastAsia="es-MX"/>
        </w:rPr>
      </w:pPr>
    </w:p>
    <w:p w:rsidR="002C40B1" w:rsidRPr="00855363" w:rsidRDefault="002C40B1"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Concluyendo, se tiene que en </w:t>
      </w:r>
      <w:r w:rsidR="005D4862" w:rsidRPr="00855363">
        <w:rPr>
          <w:rFonts w:ascii="Palatino Linotype" w:eastAsia="Calibri" w:hAnsi="Palatino Linotype" w:cs="Arial"/>
          <w:lang w:val="es-ES" w:eastAsia="es-MX"/>
        </w:rPr>
        <w:t>los</w:t>
      </w:r>
      <w:r w:rsidRPr="00855363">
        <w:rPr>
          <w:rFonts w:ascii="Palatino Linotype" w:eastAsia="Calibri" w:hAnsi="Palatino Linotype" w:cs="Arial"/>
          <w:lang w:val="es-ES" w:eastAsia="es-MX"/>
        </w:rPr>
        <w:t xml:space="preserve"> Presupuesto</w:t>
      </w:r>
      <w:r w:rsidR="005D4862" w:rsidRPr="00855363">
        <w:rPr>
          <w:rFonts w:ascii="Palatino Linotype" w:eastAsia="Calibri" w:hAnsi="Palatino Linotype" w:cs="Arial"/>
          <w:lang w:val="es-ES" w:eastAsia="es-MX"/>
        </w:rPr>
        <w:t>s</w:t>
      </w:r>
      <w:r w:rsidRPr="00855363">
        <w:rPr>
          <w:rFonts w:ascii="Palatino Linotype" w:eastAsia="Calibri" w:hAnsi="Palatino Linotype" w:cs="Arial"/>
          <w:lang w:val="es-ES" w:eastAsia="es-MX"/>
        </w:rPr>
        <w:t xml:space="preserve"> de Egresos tanto en </w:t>
      </w:r>
      <w:r w:rsidR="005D4862" w:rsidRPr="00855363">
        <w:rPr>
          <w:rFonts w:ascii="Palatino Linotype" w:eastAsia="Calibri" w:hAnsi="Palatino Linotype" w:cs="Arial"/>
          <w:lang w:val="es-ES" w:eastAsia="es-MX"/>
        </w:rPr>
        <w:t xml:space="preserve">los </w:t>
      </w:r>
      <w:r w:rsidRPr="00855363">
        <w:rPr>
          <w:rFonts w:ascii="Palatino Linotype" w:eastAsia="Calibri" w:hAnsi="Palatino Linotype" w:cs="Arial"/>
          <w:lang w:val="es-ES" w:eastAsia="es-MX"/>
        </w:rPr>
        <w:t>año</w:t>
      </w:r>
      <w:r w:rsidR="005D4862" w:rsidRPr="00855363">
        <w:rPr>
          <w:rFonts w:ascii="Palatino Linotype" w:eastAsia="Calibri" w:hAnsi="Palatino Linotype" w:cs="Arial"/>
          <w:lang w:val="es-ES" w:eastAsia="es-MX"/>
        </w:rPr>
        <w:t>s</w:t>
      </w:r>
      <w:r w:rsidRPr="00855363">
        <w:rPr>
          <w:rFonts w:ascii="Palatino Linotype" w:eastAsia="Calibri" w:hAnsi="Palatino Linotype" w:cs="Arial"/>
          <w:lang w:val="es-ES" w:eastAsia="es-MX"/>
        </w:rPr>
        <w:t xml:space="preserve"> </w:t>
      </w:r>
      <w:r w:rsidR="00DD390C" w:rsidRPr="00855363">
        <w:rPr>
          <w:rFonts w:ascii="Palatino Linotype" w:eastAsia="Calibri" w:hAnsi="Palatino Linotype" w:cs="Arial"/>
          <w:lang w:val="es-ES" w:eastAsia="es-MX"/>
        </w:rPr>
        <w:t xml:space="preserve">2015, </w:t>
      </w:r>
      <w:r w:rsidR="005D4862" w:rsidRPr="00855363">
        <w:rPr>
          <w:rFonts w:ascii="Palatino Linotype" w:eastAsia="Calibri" w:hAnsi="Palatino Linotype" w:cs="Arial"/>
          <w:lang w:val="es-ES" w:eastAsia="es-MX"/>
        </w:rPr>
        <w:t xml:space="preserve">2016, </w:t>
      </w:r>
      <w:r w:rsidRPr="00855363">
        <w:rPr>
          <w:rFonts w:ascii="Palatino Linotype" w:eastAsia="Calibri" w:hAnsi="Palatino Linotype" w:cs="Arial"/>
          <w:lang w:val="es-ES" w:eastAsia="es-MX"/>
        </w:rPr>
        <w:t xml:space="preserve">2017 </w:t>
      </w:r>
      <w:r w:rsidR="005D4862" w:rsidRPr="00855363">
        <w:rPr>
          <w:rFonts w:ascii="Palatino Linotype" w:eastAsia="Calibri" w:hAnsi="Palatino Linotype" w:cs="Arial"/>
          <w:lang w:val="es-ES" w:eastAsia="es-MX"/>
        </w:rPr>
        <w:t xml:space="preserve">como en el año 2018 </w:t>
      </w:r>
      <w:r w:rsidRPr="00855363">
        <w:rPr>
          <w:rFonts w:ascii="Palatino Linotype" w:eastAsia="Calibri" w:hAnsi="Palatino Linotype" w:cs="Arial"/>
          <w:lang w:val="es-ES" w:eastAsia="es-MX"/>
        </w:rPr>
        <w:t xml:space="preserve">se destinó la cantidad </w:t>
      </w:r>
      <w:r w:rsidRPr="00855363">
        <w:rPr>
          <w:rFonts w:ascii="Palatino Linotype" w:hAnsi="Palatino Linotype"/>
        </w:rPr>
        <w:t>$187</w:t>
      </w:r>
      <w:r w:rsidR="00AF4D88" w:rsidRPr="00855363">
        <w:rPr>
          <w:rFonts w:ascii="Palatino Linotype" w:hAnsi="Palatino Linotype"/>
        </w:rPr>
        <w:t>, 500,000.00</w:t>
      </w:r>
      <w:r w:rsidRPr="00855363">
        <w:rPr>
          <w:rFonts w:ascii="Palatino Linotype" w:hAnsi="Palatino Linotype"/>
        </w:rPr>
        <w:t xml:space="preserve"> para Programa de Apoyo a la Comunidad, el cual ejercen los diputados a favor de las personas a quienes representan, asimismo se ha determinado que los diputados cuentan con el derecho de gestionar los apoyos ante la Secretaría de Finanzas para que ésta última los asigne</w:t>
      </w:r>
      <w:r w:rsidR="005D4862" w:rsidRPr="00855363">
        <w:rPr>
          <w:rFonts w:ascii="Palatino Linotype" w:hAnsi="Palatino Linotype"/>
        </w:rPr>
        <w:t>.</w:t>
      </w:r>
    </w:p>
    <w:p w:rsidR="005D4862" w:rsidRPr="00855363" w:rsidRDefault="005D4862" w:rsidP="0027464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360" w:lineRule="auto"/>
        <w:ind w:left="0" w:right="50"/>
        <w:jc w:val="both"/>
        <w:rPr>
          <w:rFonts w:ascii="Palatino Linotype" w:eastAsia="Calibri" w:hAnsi="Palatino Linotype" w:cs="Arial"/>
          <w:lang w:val="es-ES" w:eastAsia="es-MX"/>
        </w:rPr>
      </w:pPr>
    </w:p>
    <w:p w:rsidR="002C40B1" w:rsidRPr="00855363" w:rsidRDefault="002C40B1"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855363">
        <w:rPr>
          <w:rFonts w:ascii="Palatino Linotype" w:eastAsia="Calibri" w:hAnsi="Palatino Linotype" w:cs="Arial"/>
          <w:lang w:val="es-ES" w:eastAsia="es-MX"/>
        </w:rPr>
        <w:t xml:space="preserve">Siendo que han quedado asentadas las obligaciones que tienen los diputados de la Legislatura del Estado de México para gestionar apoyos conforme al Programa de Apoyo a la Comunidad a cargo de la Secretaría de Finanzas, entonces la información debe existir, tal como lo establece el artículo 19 de la Ley de </w:t>
      </w:r>
      <w:r w:rsidRPr="00855363">
        <w:rPr>
          <w:rFonts w:ascii="Palatino Linotype" w:eastAsia="Calibri" w:hAnsi="Palatino Linotype" w:cs="Arial"/>
          <w:lang w:val="es-ES" w:eastAsia="es-MX"/>
        </w:rPr>
        <w:lastRenderedPageBreak/>
        <w:t>Transparencia y Acceso a la Información del Estado de México y Municipios, el cual a la letra dice:</w:t>
      </w:r>
    </w:p>
    <w:p w:rsidR="002C40B1" w:rsidRPr="00FF48FF" w:rsidRDefault="00FF48FF" w:rsidP="00FF48FF">
      <w:pPr>
        <w:pStyle w:val="Sinespaciado"/>
        <w:ind w:left="851" w:right="567"/>
        <w:jc w:val="both"/>
        <w:rPr>
          <w:rFonts w:ascii="Palatino Linotype" w:hAnsi="Palatino Linotype"/>
          <w:i/>
          <w:lang w:val="es-ES"/>
        </w:rPr>
      </w:pPr>
      <w:r>
        <w:rPr>
          <w:rFonts w:ascii="Palatino Linotype" w:hAnsi="Palatino Linotype" w:cs="Bookman Old Style,Bold"/>
          <w:bCs/>
          <w:i/>
          <w:lang w:val="es-ES"/>
        </w:rPr>
        <w:t>“</w:t>
      </w:r>
      <w:r w:rsidR="002C40B1" w:rsidRPr="00FF48FF">
        <w:rPr>
          <w:rFonts w:ascii="Palatino Linotype" w:hAnsi="Palatino Linotype" w:cs="Bookman Old Style,Bold"/>
          <w:bCs/>
          <w:i/>
          <w:lang w:val="es-ES"/>
        </w:rPr>
        <w:t xml:space="preserve">Artículo 19. </w:t>
      </w:r>
      <w:r w:rsidR="002C40B1" w:rsidRPr="00FF48FF">
        <w:rPr>
          <w:rFonts w:ascii="Palatino Linotype" w:hAnsi="Palatino Linotype"/>
          <w:i/>
          <w:lang w:val="es-ES"/>
        </w:rPr>
        <w:t>Se presume que la información debe existir si se refiere a las facultades, competencias y funciones que los ordenamientos jurídicos aplicables otorgan a los sujetos obligados.</w:t>
      </w:r>
    </w:p>
    <w:p w:rsidR="002C40B1" w:rsidRPr="00FF48FF" w:rsidRDefault="002C40B1" w:rsidP="00FF48FF">
      <w:pPr>
        <w:pStyle w:val="Sinespaciado"/>
        <w:ind w:left="851" w:right="567"/>
        <w:jc w:val="both"/>
        <w:rPr>
          <w:rFonts w:ascii="Palatino Linotype" w:hAnsi="Palatino Linotype"/>
          <w:i/>
          <w:lang w:val="es-ES"/>
        </w:rPr>
      </w:pPr>
      <w:r w:rsidRPr="00FF48FF">
        <w:rPr>
          <w:rFonts w:ascii="Palatino Linotype" w:hAnsi="Palatino Linotype"/>
          <w:i/>
          <w:lang w:val="es-ES"/>
        </w:rPr>
        <w:t>En los casos en que ciertas facultades, competencias o funciones no se hayan ejercido, se debe motivar la respuesta en función de las causas que motiven tal circunstancia.</w:t>
      </w:r>
    </w:p>
    <w:p w:rsidR="002C40B1" w:rsidRPr="00FF48FF" w:rsidRDefault="002C40B1" w:rsidP="00FF48FF">
      <w:pPr>
        <w:pStyle w:val="Sinespaciado"/>
        <w:ind w:left="851" w:right="567"/>
        <w:jc w:val="both"/>
        <w:rPr>
          <w:rFonts w:ascii="Palatino Linotype" w:hAnsi="Palatino Linotype"/>
          <w:i/>
          <w:lang w:val="es-ES"/>
        </w:rPr>
      </w:pPr>
      <w:r w:rsidRPr="00FF48FF">
        <w:rPr>
          <w:rFonts w:ascii="Palatino Linotype" w:hAnsi="Palatino Linotype"/>
          <w:i/>
          <w:lang w:val="es-ES"/>
        </w:rPr>
        <w:t>(…)</w:t>
      </w:r>
      <w:r w:rsidR="00FF48FF">
        <w:rPr>
          <w:rFonts w:ascii="Palatino Linotype" w:hAnsi="Palatino Linotype"/>
          <w:i/>
          <w:lang w:val="es-ES"/>
        </w:rPr>
        <w:t>”</w:t>
      </w:r>
    </w:p>
    <w:p w:rsidR="00121542" w:rsidRPr="005A61A9" w:rsidRDefault="00121542" w:rsidP="00121542">
      <w:pPr>
        <w:pStyle w:val="Prrafodelista"/>
        <w:spacing w:line="360" w:lineRule="auto"/>
        <w:ind w:left="0"/>
        <w:jc w:val="both"/>
        <w:rPr>
          <w:rFonts w:ascii="Palatino Linotype" w:hAnsi="Palatino Linotype" w:cs="Arial"/>
          <w:sz w:val="22"/>
          <w:szCs w:val="22"/>
        </w:rPr>
      </w:pPr>
    </w:p>
    <w:p w:rsidR="00121542" w:rsidRPr="00855363" w:rsidRDefault="00121542"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855363">
        <w:rPr>
          <w:rFonts w:ascii="Palatino Linotype" w:hAnsi="Palatino Linotype"/>
        </w:rPr>
        <w:t xml:space="preserve">Por </w:t>
      </w:r>
      <w:r w:rsidR="005A61A9">
        <w:rPr>
          <w:rFonts w:ascii="Palatino Linotype" w:hAnsi="Palatino Linotype"/>
        </w:rPr>
        <w:t>su parte la rendición de cuenta pública,</w:t>
      </w:r>
      <w:r w:rsidRPr="00855363">
        <w:rPr>
          <w:rFonts w:ascii="Palatino Linotype" w:hAnsi="Palatino Linotype"/>
        </w:rPr>
        <w:t xml:space="preserve"> supone la capacidad de las instituciones para hacer responsables a los gobernantes de sus actos y decisiones en los distintos niveles de poder, eso permite evitar, prevenir y en su caso, castigar el abuso de poder.</w:t>
      </w:r>
    </w:p>
    <w:p w:rsidR="00121542" w:rsidRPr="00855363" w:rsidRDefault="00121542" w:rsidP="0027464F">
      <w:pPr>
        <w:pStyle w:val="Prrafodelista"/>
        <w:tabs>
          <w:tab w:val="left" w:pos="426"/>
        </w:tabs>
        <w:spacing w:line="360" w:lineRule="auto"/>
        <w:ind w:left="0"/>
        <w:jc w:val="both"/>
        <w:rPr>
          <w:rFonts w:ascii="Palatino Linotype" w:hAnsi="Palatino Linotype" w:cs="Arial"/>
        </w:rPr>
      </w:pPr>
    </w:p>
    <w:p w:rsidR="00121542" w:rsidRPr="00855363" w:rsidRDefault="00121542"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240" w:line="360" w:lineRule="auto"/>
        <w:ind w:left="0" w:right="49" w:firstLine="0"/>
        <w:jc w:val="both"/>
        <w:rPr>
          <w:rFonts w:ascii="Palatino Linotype" w:eastAsia="Calibri" w:hAnsi="Palatino Linotype" w:cs="Arial"/>
          <w:lang w:val="es-ES"/>
        </w:rPr>
      </w:pPr>
      <w:r w:rsidRPr="00855363">
        <w:rPr>
          <w:rFonts w:ascii="Palatino Linotype" w:eastAsia="Times New Roman" w:hAnsi="Palatino Linotype" w:cs="Arial"/>
        </w:rPr>
        <w:t xml:space="preserve">Para dar una mayor claridad al respecto es preciso señalar que en el libro </w:t>
      </w:r>
      <w:r w:rsidRPr="00855363">
        <w:rPr>
          <w:rFonts w:ascii="Palatino Linotype" w:hAnsi="Palatino Linotype"/>
          <w:lang w:val="es-ES"/>
        </w:rPr>
        <w:t>Transparencia y rendición de cuentas</w:t>
      </w:r>
      <w:r w:rsidRPr="00855363">
        <w:rPr>
          <w:rFonts w:ascii="Palatino Linotype" w:eastAsia="Times New Roman" w:hAnsi="Palatino Linotype" w:cs="Arial"/>
        </w:rPr>
        <w:t xml:space="preserve"> compilado por José Sosa según la cita que hace Luis Carlos Ugalde en su libro “</w:t>
      </w:r>
      <w:r w:rsidRPr="00855363">
        <w:rPr>
          <w:rFonts w:ascii="Palatino Linotype" w:eastAsia="Times New Roman" w:hAnsi="Palatino Linotype" w:cs="Arial"/>
          <w:i/>
        </w:rPr>
        <w:t>La rendición de cuentas y democracia: el caso de México, 2002</w:t>
      </w:r>
      <w:r w:rsidRPr="00855363">
        <w:rPr>
          <w:rFonts w:ascii="Palatino Linotype" w:eastAsia="Times New Roman" w:hAnsi="Palatino Linotype" w:cs="Arial"/>
        </w:rPr>
        <w:t xml:space="preserve">” la rendición de cuentas significa: </w:t>
      </w:r>
      <w:r w:rsidRPr="005A61A9">
        <w:rPr>
          <w:rFonts w:ascii="Palatino Linotype" w:eastAsia="Times New Roman" w:hAnsi="Palatino Linotype" w:cs="Arial"/>
          <w:b/>
        </w:rPr>
        <w:t>“</w:t>
      </w:r>
      <w:r w:rsidRPr="005A61A9">
        <w:rPr>
          <w:rFonts w:ascii="Palatino Linotype" w:eastAsia="Times New Roman" w:hAnsi="Palatino Linotype" w:cs="Arial"/>
          <w:b/>
          <w:i/>
        </w:rPr>
        <w:t>la obligación de todos los servidores públicos de dar cuentas, explicar y justificar sus actos al público, que es el último depositario de la soberanía de una democracia</w:t>
      </w:r>
      <w:r w:rsidRPr="005A61A9">
        <w:rPr>
          <w:rFonts w:ascii="Palatino Linotype" w:eastAsia="Times New Roman" w:hAnsi="Palatino Linotype" w:cs="Arial"/>
          <w:b/>
        </w:rPr>
        <w:t>”</w:t>
      </w:r>
      <w:r w:rsidRPr="005A61A9">
        <w:rPr>
          <w:rStyle w:val="Refdenotaalpie"/>
          <w:rFonts w:ascii="Palatino Linotype" w:eastAsia="Times New Roman" w:hAnsi="Palatino Linotype" w:cs="Arial"/>
          <w:b/>
        </w:rPr>
        <w:footnoteReference w:id="1"/>
      </w:r>
      <w:r w:rsidRPr="005A61A9">
        <w:rPr>
          <w:rFonts w:ascii="Palatino Linotype" w:eastAsia="Times New Roman" w:hAnsi="Palatino Linotype" w:cs="Arial"/>
          <w:b/>
        </w:rPr>
        <w:t>.</w:t>
      </w:r>
    </w:p>
    <w:p w:rsidR="00121542" w:rsidRPr="00855363" w:rsidRDefault="00121542" w:rsidP="0027464F">
      <w:pPr>
        <w:pStyle w:val="Prrafodelista"/>
        <w:tabs>
          <w:tab w:val="left" w:pos="426"/>
        </w:tabs>
        <w:spacing w:before="240" w:line="360" w:lineRule="auto"/>
        <w:ind w:left="0" w:right="49"/>
        <w:jc w:val="both"/>
        <w:rPr>
          <w:rFonts w:ascii="Palatino Linotype" w:eastAsia="Calibri" w:hAnsi="Palatino Linotype" w:cs="Arial"/>
          <w:lang w:val="es-ES"/>
        </w:rPr>
      </w:pPr>
    </w:p>
    <w:p w:rsidR="00121542" w:rsidRPr="00855363" w:rsidRDefault="00121542"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855363">
        <w:rPr>
          <w:rFonts w:ascii="Palatino Linotype" w:hAnsi="Palatino Linotype"/>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121542" w:rsidRPr="00855363" w:rsidRDefault="00121542" w:rsidP="0027464F">
      <w:pPr>
        <w:pStyle w:val="Prrafodelista"/>
        <w:tabs>
          <w:tab w:val="left" w:pos="426"/>
        </w:tabs>
        <w:spacing w:line="360" w:lineRule="auto"/>
        <w:ind w:left="0"/>
        <w:jc w:val="both"/>
        <w:rPr>
          <w:rFonts w:ascii="Palatino Linotype" w:hAnsi="Palatino Linotype" w:cs="Arial"/>
        </w:rPr>
      </w:pPr>
    </w:p>
    <w:p w:rsidR="00121542" w:rsidRPr="00855363" w:rsidRDefault="00121542"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855363">
        <w:rPr>
          <w:rFonts w:ascii="Palatino Linotype" w:hAnsi="Palatino Linotype"/>
        </w:rPr>
        <w:t>La consagración del derecho se observa complementada por su gratuidad y quizá sea uno de sus principios más importantes en concordancia con el servicio público que conlleve a que la Administración actúe al servicio del ciudadano, adecuando todos sus procedimientos y metodologías para estar en condiciones de brindar información actualizada, de manera expedita y por medios electrónicos a todos y en especial a quienes la soliciten, sin que sea necesario acreditar interés alguno.</w:t>
      </w:r>
    </w:p>
    <w:p w:rsidR="00121542" w:rsidRPr="00855363" w:rsidRDefault="00121542" w:rsidP="0027464F">
      <w:pPr>
        <w:pStyle w:val="Prrafodelista"/>
        <w:tabs>
          <w:tab w:val="left" w:pos="426"/>
        </w:tabs>
        <w:spacing w:line="360" w:lineRule="auto"/>
        <w:ind w:left="0"/>
        <w:jc w:val="both"/>
        <w:rPr>
          <w:rFonts w:ascii="Palatino Linotype" w:hAnsi="Palatino Linotype" w:cs="Arial"/>
        </w:rPr>
      </w:pPr>
    </w:p>
    <w:p w:rsidR="00121542" w:rsidRPr="00855363" w:rsidRDefault="00121542"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855363">
        <w:rPr>
          <w:rFonts w:ascii="Palatino Linotype" w:hAnsi="Palatino Linotype"/>
        </w:rPr>
        <w:t>Por estas razones las leyes de transparencia y acceso a la información en México, tienen como objetivo primordial el garantizar que los ciudadanos puedan solicitar documentos que poseen las instituciones gubernamentales.</w:t>
      </w:r>
    </w:p>
    <w:p w:rsidR="00121542" w:rsidRPr="00855363" w:rsidRDefault="00121542" w:rsidP="0027464F">
      <w:pPr>
        <w:pStyle w:val="Prrafodelista"/>
        <w:tabs>
          <w:tab w:val="left" w:pos="426"/>
        </w:tabs>
        <w:spacing w:line="360" w:lineRule="auto"/>
        <w:ind w:left="0"/>
        <w:jc w:val="both"/>
        <w:rPr>
          <w:rFonts w:ascii="Palatino Linotype" w:hAnsi="Palatino Linotype" w:cs="Arial"/>
        </w:rPr>
      </w:pPr>
    </w:p>
    <w:p w:rsidR="00121542" w:rsidRPr="00855363" w:rsidRDefault="00121542"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240" w:line="360" w:lineRule="auto"/>
        <w:ind w:left="0" w:right="49" w:firstLine="0"/>
        <w:jc w:val="both"/>
        <w:rPr>
          <w:rFonts w:ascii="Palatino Linotype" w:eastAsia="Calibri" w:hAnsi="Palatino Linotype" w:cs="Arial"/>
          <w:lang w:val="es-ES"/>
        </w:rPr>
      </w:pPr>
      <w:r w:rsidRPr="00855363">
        <w:rPr>
          <w:rFonts w:ascii="Palatino Linotype" w:eastAsia="Calibri" w:hAnsi="Palatino Linotype" w:cs="Arial"/>
          <w:lang w:val="es-ES"/>
        </w:rPr>
        <w:t xml:space="preserve">Es importante señalar que abona a la trasparencia, al principio de máxima publicidad y a la </w:t>
      </w:r>
      <w:r w:rsidRPr="00855363">
        <w:rPr>
          <w:rFonts w:ascii="Palatino Linotype" w:eastAsia="Calibri" w:hAnsi="Palatino Linotype" w:cs="Arial"/>
          <w:b/>
          <w:u w:val="single"/>
          <w:lang w:val="es-ES"/>
        </w:rPr>
        <w:t>rendición de cuentas</w:t>
      </w:r>
      <w:r w:rsidRPr="00855363">
        <w:rPr>
          <w:rFonts w:ascii="Palatino Linotype" w:eastAsia="Calibri" w:hAnsi="Palatino Linotype" w:cs="Arial"/>
          <w:lang w:val="es-ES"/>
        </w:rPr>
        <w:t>, toda la información relaci</w:t>
      </w:r>
      <w:r w:rsidR="00FF48FF">
        <w:rPr>
          <w:rFonts w:ascii="Palatino Linotype" w:eastAsia="Calibri" w:hAnsi="Palatino Linotype" w:cs="Arial"/>
          <w:lang w:val="es-ES"/>
        </w:rPr>
        <w:t xml:space="preserve">onada con los apoyos otorgados </w:t>
      </w:r>
      <w:r w:rsidRPr="00855363">
        <w:rPr>
          <w:rFonts w:ascii="Palatino Linotype" w:eastAsia="Calibri" w:hAnsi="Palatino Linotype" w:cs="Arial"/>
          <w:lang w:val="es-ES"/>
        </w:rPr>
        <w:t>a través de pro</w:t>
      </w:r>
      <w:r w:rsidR="005A61A9">
        <w:rPr>
          <w:rFonts w:ascii="Palatino Linotype" w:eastAsia="Calibri" w:hAnsi="Palatino Linotype" w:cs="Arial"/>
          <w:lang w:val="es-ES"/>
        </w:rPr>
        <w:t xml:space="preserve">gramas o acciones implementadas, por ello, en este asunto, siendo los legisladores que integran el Poder Legislativo quienes fueron elegidos a través de sufragio efectivo por los ciudadanos, dándoles su voto de confianza para que los represente en el Estado de México, legisladores a quienes se les ha requerido esta información y que como ya se ha señalado, su respuesta fue desfavorable al </w:t>
      </w:r>
      <w:r w:rsidR="00FF48FF" w:rsidRPr="00FF48FF">
        <w:rPr>
          <w:rFonts w:ascii="Palatino Linotype" w:eastAsia="Calibri" w:hAnsi="Palatino Linotype" w:cs="Arial"/>
          <w:b/>
          <w:lang w:val="es-ES"/>
        </w:rPr>
        <w:t>SOLICITANTE</w:t>
      </w:r>
      <w:r w:rsidR="00FF48FF">
        <w:rPr>
          <w:rFonts w:ascii="Palatino Linotype" w:eastAsia="Calibri" w:hAnsi="Palatino Linotype" w:cs="Arial"/>
          <w:lang w:val="es-ES"/>
        </w:rPr>
        <w:t xml:space="preserve"> </w:t>
      </w:r>
      <w:r w:rsidR="005A61A9">
        <w:rPr>
          <w:rFonts w:ascii="Palatino Linotype" w:eastAsia="Calibri" w:hAnsi="Palatino Linotype" w:cs="Arial"/>
          <w:lang w:val="es-ES"/>
        </w:rPr>
        <w:t xml:space="preserve">toda vez que se dijo no contar con ningún documento relacionado a este tema, </w:t>
      </w:r>
      <w:r w:rsidR="00FF48FF">
        <w:rPr>
          <w:rFonts w:ascii="Palatino Linotype" w:eastAsia="Calibri" w:hAnsi="Palatino Linotype" w:cs="Arial"/>
          <w:lang w:val="es-ES"/>
        </w:rPr>
        <w:t>.</w:t>
      </w:r>
      <w:r w:rsidR="005A61A9">
        <w:rPr>
          <w:rFonts w:ascii="Palatino Linotype" w:eastAsia="Calibri" w:hAnsi="Palatino Linotype" w:cs="Arial"/>
          <w:lang w:val="es-ES"/>
        </w:rPr>
        <w:t xml:space="preserve"> </w:t>
      </w:r>
    </w:p>
    <w:p w:rsidR="00121542" w:rsidRPr="00855363" w:rsidRDefault="00121542" w:rsidP="0027464F">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240" w:line="360" w:lineRule="auto"/>
        <w:ind w:left="0" w:right="49"/>
        <w:jc w:val="both"/>
        <w:rPr>
          <w:rFonts w:ascii="Palatino Linotype" w:eastAsia="Calibri" w:hAnsi="Palatino Linotype" w:cs="Arial"/>
          <w:lang w:val="es-ES"/>
        </w:rPr>
      </w:pPr>
    </w:p>
    <w:p w:rsidR="00121542" w:rsidRPr="00855363" w:rsidRDefault="00121542" w:rsidP="0027464F">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240" w:line="360" w:lineRule="auto"/>
        <w:ind w:left="0" w:right="49" w:firstLine="0"/>
        <w:jc w:val="both"/>
        <w:rPr>
          <w:rFonts w:ascii="Palatino Linotype" w:eastAsia="Calibri" w:hAnsi="Palatino Linotype" w:cs="Arial"/>
          <w:lang w:val="es-ES"/>
        </w:rPr>
      </w:pPr>
      <w:r w:rsidRPr="00855363">
        <w:rPr>
          <w:rFonts w:ascii="Palatino Linotype" w:eastAsia="Times New Roman" w:hAnsi="Palatino Linotype" w:cs="Arial"/>
        </w:rPr>
        <w:t>Por ello todo acto de autoridad deberá recaer en un documento, toda vez que, forma parte de la rendición de cuentas y de un ejercicio correcto de sus atribuciones, información que es de interés público y debe ser proporcionado atendiendo el principio de máxima publicidad.</w:t>
      </w:r>
    </w:p>
    <w:p w:rsidR="00674DAE" w:rsidRDefault="00674DAE" w:rsidP="00674DAE">
      <w:pPr>
        <w:spacing w:before="240" w:after="240" w:line="360" w:lineRule="auto"/>
        <w:ind w:right="49"/>
        <w:contextualSpacing/>
        <w:jc w:val="both"/>
        <w:rPr>
          <w:rFonts w:ascii="Palatino Linotype" w:eastAsia="Calibri" w:hAnsi="Palatino Linotype" w:cs="Arial"/>
          <w:u w:val="single"/>
          <w:lang w:val="es-ES"/>
        </w:rPr>
      </w:pPr>
    </w:p>
    <w:p w:rsidR="005D4016" w:rsidRDefault="005D4016" w:rsidP="00674DAE">
      <w:pPr>
        <w:spacing w:before="240" w:after="240" w:line="360" w:lineRule="auto"/>
        <w:ind w:right="49"/>
        <w:contextualSpacing/>
        <w:jc w:val="both"/>
        <w:rPr>
          <w:rFonts w:ascii="Palatino Linotype" w:eastAsia="Calibri" w:hAnsi="Palatino Linotype" w:cs="Arial"/>
          <w:u w:val="single"/>
          <w:lang w:val="es-ES"/>
        </w:rPr>
      </w:pPr>
    </w:p>
    <w:p w:rsidR="00674DAE" w:rsidRPr="005D4016" w:rsidRDefault="00674DAE" w:rsidP="00674DAE">
      <w:pPr>
        <w:spacing w:line="360" w:lineRule="auto"/>
        <w:jc w:val="center"/>
        <w:rPr>
          <w:rFonts w:ascii="Palatino Linotype" w:eastAsia="Calibri" w:hAnsi="Palatino Linotype" w:cs="Arial"/>
          <w:b/>
          <w:color w:val="000000" w:themeColor="text1"/>
          <w:sz w:val="20"/>
        </w:rPr>
      </w:pPr>
      <w:r w:rsidRPr="005D4016">
        <w:rPr>
          <w:rFonts w:ascii="Palatino Linotype" w:eastAsia="Calibri" w:hAnsi="Palatino Linotype" w:cs="Arial"/>
          <w:b/>
          <w:color w:val="000000" w:themeColor="text1"/>
          <w:sz w:val="20"/>
        </w:rPr>
        <w:t>JOSÉ GUADALUPE LUNA HERNÁNDEZ</w:t>
      </w:r>
    </w:p>
    <w:p w:rsidR="00674DAE" w:rsidRPr="005D4016" w:rsidRDefault="00674DAE" w:rsidP="00674DAE">
      <w:pPr>
        <w:spacing w:line="360" w:lineRule="auto"/>
        <w:jc w:val="center"/>
        <w:rPr>
          <w:rFonts w:ascii="Palatino Linotype" w:eastAsia="Calibri" w:hAnsi="Palatino Linotype" w:cs="Arial"/>
          <w:b/>
          <w:color w:val="000000" w:themeColor="text1"/>
          <w:sz w:val="20"/>
        </w:rPr>
      </w:pPr>
      <w:r w:rsidRPr="005D4016">
        <w:rPr>
          <w:rFonts w:ascii="Palatino Linotype" w:eastAsia="Calibri" w:hAnsi="Palatino Linotype" w:cs="Arial"/>
          <w:b/>
          <w:color w:val="000000" w:themeColor="text1"/>
          <w:sz w:val="20"/>
        </w:rPr>
        <w:t xml:space="preserve">COMISIONADO </w:t>
      </w:r>
    </w:p>
    <w:p w:rsidR="00674DAE" w:rsidRPr="005D4016" w:rsidRDefault="00674DAE" w:rsidP="00674DAE">
      <w:pPr>
        <w:spacing w:line="360" w:lineRule="auto"/>
        <w:jc w:val="center"/>
        <w:rPr>
          <w:rFonts w:ascii="Palatino Linotype" w:eastAsia="Calibri" w:hAnsi="Palatino Linotype" w:cs="Arial"/>
          <w:b/>
          <w:color w:val="000000" w:themeColor="text1"/>
          <w:sz w:val="20"/>
        </w:rPr>
      </w:pPr>
      <w:r w:rsidRPr="005D4016">
        <w:rPr>
          <w:rFonts w:ascii="Palatino Linotype" w:eastAsia="Calibri" w:hAnsi="Palatino Linotype" w:cs="Arial"/>
          <w:b/>
          <w:color w:val="000000" w:themeColor="text1"/>
          <w:sz w:val="20"/>
        </w:rPr>
        <w:t>(Rúbrica)</w:t>
      </w:r>
    </w:p>
    <w:p w:rsidR="005251C4" w:rsidRPr="005D4016" w:rsidRDefault="005251C4" w:rsidP="005251C4">
      <w:pPr>
        <w:spacing w:line="360" w:lineRule="auto"/>
        <w:rPr>
          <w:rFonts w:ascii="Palatino Linotype" w:eastAsia="Calibri" w:hAnsi="Palatino Linotype" w:cs="Arial"/>
          <w:b/>
          <w:color w:val="000000" w:themeColor="text1"/>
          <w:sz w:val="20"/>
        </w:rPr>
      </w:pPr>
    </w:p>
    <w:p w:rsidR="005251C4" w:rsidRPr="005D4016" w:rsidRDefault="00DD390C" w:rsidP="005251C4">
      <w:pPr>
        <w:spacing w:line="360" w:lineRule="auto"/>
        <w:rPr>
          <w:rFonts w:ascii="Palatino Linotype" w:eastAsia="Calibri" w:hAnsi="Palatino Linotype" w:cs="Arial"/>
          <w:b/>
          <w:color w:val="000000" w:themeColor="text1"/>
          <w:sz w:val="20"/>
        </w:rPr>
      </w:pPr>
      <w:r w:rsidRPr="005D4016">
        <w:rPr>
          <w:rFonts w:ascii="Palatino Linotype" w:eastAsia="Calibri" w:hAnsi="Palatino Linotype" w:cs="Arial"/>
          <w:b/>
          <w:color w:val="000000" w:themeColor="text1"/>
          <w:sz w:val="20"/>
        </w:rPr>
        <w:t>JGLH/</w:t>
      </w:r>
      <w:r w:rsidR="00FF48FF" w:rsidRPr="005D4016">
        <w:rPr>
          <w:rFonts w:ascii="Palatino Linotype" w:eastAsia="Calibri" w:hAnsi="Palatino Linotype" w:cs="Arial"/>
          <w:b/>
          <w:color w:val="000000" w:themeColor="text1"/>
          <w:sz w:val="20"/>
        </w:rPr>
        <w:t>JAAV</w:t>
      </w:r>
      <w:bookmarkStart w:id="6" w:name="_GoBack"/>
      <w:bookmarkEnd w:id="6"/>
    </w:p>
    <w:sectPr w:rsidR="005251C4" w:rsidRPr="005D4016" w:rsidSect="007631ED">
      <w:headerReference w:type="even" r:id="rId10"/>
      <w:headerReference w:type="default" r:id="rId11"/>
      <w:footerReference w:type="even" r:id="rId12"/>
      <w:footerReference w:type="default" r:id="rId13"/>
      <w:headerReference w:type="first" r:id="rId14"/>
      <w:footerReference w:type="first" r:id="rId15"/>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83F" w:rsidRDefault="0098083F" w:rsidP="00ED7332">
      <w:r>
        <w:separator/>
      </w:r>
    </w:p>
  </w:endnote>
  <w:endnote w:type="continuationSeparator" w:id="0">
    <w:p w:rsidR="0098083F" w:rsidRDefault="0098083F"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24" w:rsidRDefault="00074B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42012">
              <w:rPr>
                <w:rFonts w:ascii="Palatino Linotype" w:hAnsi="Palatino Linotype"/>
                <w:b/>
                <w:bCs/>
                <w:noProof/>
                <w:sz w:val="20"/>
                <w:szCs w:val="20"/>
              </w:rPr>
              <w:t>4</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42012">
              <w:rPr>
                <w:rFonts w:ascii="Palatino Linotype" w:hAnsi="Palatino Linotype"/>
                <w:b/>
                <w:bCs/>
                <w:noProof/>
                <w:sz w:val="20"/>
                <w:szCs w:val="20"/>
              </w:rPr>
              <w:t>18</w:t>
            </w:r>
            <w:r w:rsidRPr="0052203D">
              <w:rPr>
                <w:rFonts w:ascii="Palatino Linotype" w:hAnsi="Palatino Linotype"/>
                <w:b/>
                <w:bCs/>
                <w:sz w:val="20"/>
                <w:szCs w:val="20"/>
              </w:rPr>
              <w:fldChar w:fldCharType="end"/>
            </w:r>
          </w:p>
        </w:sdtContent>
      </w:sdt>
    </w:sdtContent>
  </w:sdt>
  <w:p w:rsidR="00951E8B" w:rsidRDefault="00E4201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24" w:rsidRDefault="00074B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83F" w:rsidRDefault="0098083F" w:rsidP="00ED7332">
      <w:r>
        <w:separator/>
      </w:r>
    </w:p>
  </w:footnote>
  <w:footnote w:type="continuationSeparator" w:id="0">
    <w:p w:rsidR="0098083F" w:rsidRDefault="0098083F" w:rsidP="00ED7332">
      <w:r>
        <w:continuationSeparator/>
      </w:r>
    </w:p>
  </w:footnote>
  <w:footnote w:id="1">
    <w:p w:rsidR="00121542" w:rsidRPr="007674CB" w:rsidRDefault="00121542" w:rsidP="00121542">
      <w:pPr>
        <w:pStyle w:val="Textonotapie"/>
        <w:jc w:val="both"/>
        <w:rPr>
          <w:lang w:val="es-ES"/>
        </w:rPr>
      </w:pPr>
      <w:r>
        <w:rPr>
          <w:rStyle w:val="Refdenotaalpie"/>
        </w:rPr>
        <w:footnoteRef/>
      </w:r>
      <w:r>
        <w:t xml:space="preserve"> </w:t>
      </w:r>
      <w:proofErr w:type="spellStart"/>
      <w:r>
        <w:t>Delmer</w:t>
      </w:r>
      <w:proofErr w:type="spellEnd"/>
      <w:r>
        <w:t xml:space="preserve"> D. </w:t>
      </w:r>
      <w:proofErr w:type="spellStart"/>
      <w:r>
        <w:t>Dunn</w:t>
      </w:r>
      <w:proofErr w:type="spellEnd"/>
      <w:r>
        <w:t>, “</w:t>
      </w:r>
      <w:proofErr w:type="spellStart"/>
      <w:r>
        <w:t>Mixing</w:t>
      </w:r>
      <w:proofErr w:type="spellEnd"/>
      <w:r>
        <w:t xml:space="preserve"> </w:t>
      </w:r>
      <w:proofErr w:type="spellStart"/>
      <w:r>
        <w:t>Elected</w:t>
      </w:r>
      <w:proofErr w:type="spellEnd"/>
      <w:r>
        <w:t xml:space="preserve"> and </w:t>
      </w:r>
      <w:proofErr w:type="spellStart"/>
      <w:r>
        <w:t>Nonelected</w:t>
      </w:r>
      <w:proofErr w:type="spellEnd"/>
      <w:r>
        <w:t xml:space="preserve"> </w:t>
      </w:r>
      <w:proofErr w:type="spellStart"/>
      <w:r>
        <w:t>Officials</w:t>
      </w:r>
      <w:proofErr w:type="spellEnd"/>
      <w:r>
        <w:t xml:space="preserve"> in </w:t>
      </w:r>
      <w:proofErr w:type="spellStart"/>
      <w:r>
        <w:t>Democratic</w:t>
      </w:r>
      <w:proofErr w:type="spellEnd"/>
      <w:r>
        <w:t xml:space="preserve"> </w:t>
      </w:r>
      <w:proofErr w:type="spellStart"/>
      <w:r>
        <w:t>Policy</w:t>
      </w:r>
      <w:proofErr w:type="spellEnd"/>
      <w:r>
        <w:t xml:space="preserve"> </w:t>
      </w:r>
      <w:proofErr w:type="spellStart"/>
      <w:r>
        <w:t>Making</w:t>
      </w:r>
      <w:proofErr w:type="spellEnd"/>
      <w:r>
        <w:t xml:space="preserve">: Fundamentals of </w:t>
      </w:r>
      <w:proofErr w:type="spellStart"/>
      <w:r>
        <w:t>Accountability</w:t>
      </w:r>
      <w:proofErr w:type="spellEnd"/>
      <w:r>
        <w:t xml:space="preserve"> and </w:t>
      </w:r>
      <w:proofErr w:type="spellStart"/>
      <w:r>
        <w:t>Representation</w:t>
      </w:r>
      <w:proofErr w:type="spellEnd"/>
      <w:r>
        <w:t xml:space="preserve">, Cambridge </w:t>
      </w:r>
      <w:proofErr w:type="spellStart"/>
      <w:r>
        <w:t>University</w:t>
      </w:r>
      <w:proofErr w:type="spellEnd"/>
      <w:r>
        <w:t xml:space="preserve"> </w:t>
      </w:r>
      <w:proofErr w:type="spellStart"/>
      <w:r>
        <w:t>Press</w:t>
      </w:r>
      <w:proofErr w:type="spellEnd"/>
      <w:r>
        <w:t>, 1999, p298”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42012">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89641" o:spid="_x0000_s2062" type="#_x0000_t136" style="position:absolute;margin-left:0;margin-top:0;width:541.8pt;height:81.2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42012">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89642" o:spid="_x0000_s2063" type="#_x0000_t136" style="position:absolute;margin-left:0;margin-top:0;width:541.8pt;height:81.2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42012">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389640" o:spid="_x0000_s2061" type="#_x0000_t136" style="position:absolute;margin-left:0;margin-top:0;width:541.8pt;height:81.2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906AC364"/>
    <w:lvl w:ilvl="0" w:tplc="61B24ADA">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2">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nsid w:val="0B266EA2"/>
    <w:multiLevelType w:val="hybridMultilevel"/>
    <w:tmpl w:val="97B0D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511F8C"/>
    <w:multiLevelType w:val="hybridMultilevel"/>
    <w:tmpl w:val="D86079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5">
      <w:start w:val="1"/>
      <w:numFmt w:val="upperLetter"/>
      <w:lvlText w:val="%6."/>
      <w:lvlJc w:val="lef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97625E"/>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8">
    <w:nsid w:val="1CAA65D5"/>
    <w:multiLevelType w:val="hybridMultilevel"/>
    <w:tmpl w:val="BB38CF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3320B9"/>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0">
    <w:nsid w:val="210C7F07"/>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1">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1B4240"/>
    <w:multiLevelType w:val="hybridMultilevel"/>
    <w:tmpl w:val="CBF050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20">
    <w:nsid w:val="3DC31D68"/>
    <w:multiLevelType w:val="hybridMultilevel"/>
    <w:tmpl w:val="192CEC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F9B706A"/>
    <w:multiLevelType w:val="hybridMultilevel"/>
    <w:tmpl w:val="E34EA1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3">
    <w:nsid w:val="45D42BA8"/>
    <w:multiLevelType w:val="hybridMultilevel"/>
    <w:tmpl w:val="1F4AA088"/>
    <w:lvl w:ilvl="0" w:tplc="02221DA0">
      <w:start w:val="1"/>
      <w:numFmt w:val="lowerLetter"/>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5904A8"/>
    <w:multiLevelType w:val="hybridMultilevel"/>
    <w:tmpl w:val="AB74F1AC"/>
    <w:lvl w:ilvl="0" w:tplc="5EFE98EE">
      <w:start w:val="1"/>
      <w:numFmt w:val="decimal"/>
      <w:lvlText w:val="%1."/>
      <w:lvlJc w:val="left"/>
      <w:pPr>
        <w:ind w:left="5180" w:hanging="360"/>
      </w:pPr>
      <w:rPr>
        <w:rFonts w:hint="default"/>
        <w:b/>
        <w:i w:val="0"/>
        <w:sz w:val="24"/>
      </w:rPr>
    </w:lvl>
    <w:lvl w:ilvl="1" w:tplc="0C0A0013">
      <w:start w:val="1"/>
      <w:numFmt w:val="upperRoman"/>
      <w:lvlText w:val="%2."/>
      <w:lvlJc w:val="righ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587ADCC6">
      <w:start w:val="1"/>
      <w:numFmt w:val="lowerRoman"/>
      <w:lvlText w:val="%5."/>
      <w:lvlJc w:val="left"/>
      <w:pPr>
        <w:ind w:left="3960" w:hanging="720"/>
      </w:pPr>
      <w:rPr>
        <w:rFonts w:hint="default"/>
      </w:rPr>
    </w:lvl>
    <w:lvl w:ilvl="5" w:tplc="FFBEC412">
      <w:start w:val="1"/>
      <w:numFmt w:val="upperLetter"/>
      <w:lvlText w:val="%6."/>
      <w:lvlJc w:val="left"/>
      <w:pPr>
        <w:ind w:left="4500" w:hanging="360"/>
      </w:pPr>
      <w:rPr>
        <w:rFonts w:asciiTheme="minorHAnsi" w:eastAsiaTheme="minorEastAsia" w:hAnsiTheme="minorHAnsi" w:cstheme="minorBidi"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7AC5D89"/>
    <w:multiLevelType w:val="hybridMultilevel"/>
    <w:tmpl w:val="49F24CF4"/>
    <w:lvl w:ilvl="0" w:tplc="7C4859AA">
      <w:start w:val="1"/>
      <w:numFmt w:val="decimal"/>
      <w:lvlText w:val="%1."/>
      <w:lvlJc w:val="left"/>
      <w:pPr>
        <w:ind w:left="426" w:hanging="360"/>
      </w:pPr>
      <w:rPr>
        <w:b/>
        <w:sz w:val="24"/>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6">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8">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173714F"/>
    <w:multiLevelType w:val="hybridMultilevel"/>
    <w:tmpl w:val="79E6FC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nsid w:val="58E17D2A"/>
    <w:multiLevelType w:val="hybridMultilevel"/>
    <w:tmpl w:val="9C2CECFA"/>
    <w:lvl w:ilvl="0" w:tplc="C2F6083A">
      <w:start w:val="1"/>
      <w:numFmt w:val="upperRoman"/>
      <w:pStyle w:val="Ttulo1"/>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1E06B4"/>
    <w:multiLevelType w:val="hybridMultilevel"/>
    <w:tmpl w:val="94AE6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5330F2B"/>
    <w:multiLevelType w:val="hybridMultilevel"/>
    <w:tmpl w:val="728A996A"/>
    <w:lvl w:ilvl="0" w:tplc="FEDABF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577B07"/>
    <w:multiLevelType w:val="hybridMultilevel"/>
    <w:tmpl w:val="FBAA2B0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50534F"/>
    <w:multiLevelType w:val="hybridMultilevel"/>
    <w:tmpl w:val="98FC6C10"/>
    <w:lvl w:ilvl="0" w:tplc="0C0A0013">
      <w:start w:val="1"/>
      <w:numFmt w:val="upperRoman"/>
      <w:lvlText w:val="%1."/>
      <w:lvlJc w:val="righ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C152896"/>
    <w:multiLevelType w:val="hybridMultilevel"/>
    <w:tmpl w:val="2A705F12"/>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3183239"/>
    <w:multiLevelType w:val="hybridMultilevel"/>
    <w:tmpl w:val="C212C1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3"/>
  </w:num>
  <w:num w:numId="3">
    <w:abstractNumId w:val="44"/>
  </w:num>
  <w:num w:numId="4">
    <w:abstractNumId w:val="11"/>
  </w:num>
  <w:num w:numId="5">
    <w:abstractNumId w:val="19"/>
  </w:num>
  <w:num w:numId="6">
    <w:abstractNumId w:val="2"/>
  </w:num>
  <w:num w:numId="7">
    <w:abstractNumId w:val="30"/>
  </w:num>
  <w:num w:numId="8">
    <w:abstractNumId w:val="46"/>
  </w:num>
  <w:num w:numId="9">
    <w:abstractNumId w:val="25"/>
  </w:num>
  <w:num w:numId="10">
    <w:abstractNumId w:val="1"/>
  </w:num>
  <w:num w:numId="11">
    <w:abstractNumId w:val="0"/>
  </w:num>
  <w:num w:numId="12">
    <w:abstractNumId w:val="28"/>
  </w:num>
  <w:num w:numId="13">
    <w:abstractNumId w:val="6"/>
  </w:num>
  <w:num w:numId="14">
    <w:abstractNumId w:val="40"/>
  </w:num>
  <w:num w:numId="15">
    <w:abstractNumId w:val="39"/>
  </w:num>
  <w:num w:numId="16">
    <w:abstractNumId w:val="27"/>
  </w:num>
  <w:num w:numId="17">
    <w:abstractNumId w:val="15"/>
  </w:num>
  <w:num w:numId="18">
    <w:abstractNumId w:val="12"/>
  </w:num>
  <w:num w:numId="19">
    <w:abstractNumId w:val="41"/>
  </w:num>
  <w:num w:numId="20">
    <w:abstractNumId w:val="22"/>
  </w:num>
  <w:num w:numId="21">
    <w:abstractNumId w:val="45"/>
  </w:num>
  <w:num w:numId="22">
    <w:abstractNumId w:val="17"/>
  </w:num>
  <w:num w:numId="23">
    <w:abstractNumId w:val="20"/>
  </w:num>
  <w:num w:numId="24">
    <w:abstractNumId w:val="32"/>
  </w:num>
  <w:num w:numId="25">
    <w:abstractNumId w:val="26"/>
  </w:num>
  <w:num w:numId="26">
    <w:abstractNumId w:val="4"/>
  </w:num>
  <w:num w:numId="27">
    <w:abstractNumId w:val="3"/>
  </w:num>
  <w:num w:numId="28">
    <w:abstractNumId w:val="7"/>
  </w:num>
  <w:num w:numId="29">
    <w:abstractNumId w:val="9"/>
  </w:num>
  <w:num w:numId="30">
    <w:abstractNumId w:val="10"/>
  </w:num>
  <w:num w:numId="31">
    <w:abstractNumId w:val="34"/>
  </w:num>
  <w:num w:numId="32">
    <w:abstractNumId w:val="21"/>
  </w:num>
  <w:num w:numId="33">
    <w:abstractNumId w:val="14"/>
  </w:num>
  <w:num w:numId="34">
    <w:abstractNumId w:val="42"/>
  </w:num>
  <w:num w:numId="35">
    <w:abstractNumId w:val="38"/>
  </w:num>
  <w:num w:numId="36">
    <w:abstractNumId w:val="8"/>
  </w:num>
  <w:num w:numId="37">
    <w:abstractNumId w:val="23"/>
  </w:num>
  <w:num w:numId="38">
    <w:abstractNumId w:val="18"/>
  </w:num>
  <w:num w:numId="39">
    <w:abstractNumId w:val="16"/>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24"/>
  </w:num>
  <w:num w:numId="43">
    <w:abstractNumId w:val="37"/>
  </w:num>
  <w:num w:numId="44">
    <w:abstractNumId w:val="36"/>
  </w:num>
  <w:num w:numId="45">
    <w:abstractNumId w:val="29"/>
  </w:num>
  <w:num w:numId="46">
    <w:abstractNumId w:val="43"/>
  </w:num>
  <w:num w:numId="47">
    <w:abstractNumId w:val="35"/>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26FC"/>
    <w:rsid w:val="00004141"/>
    <w:rsid w:val="00013DED"/>
    <w:rsid w:val="000350F9"/>
    <w:rsid w:val="00045EDE"/>
    <w:rsid w:val="00053585"/>
    <w:rsid w:val="00074B24"/>
    <w:rsid w:val="0009296B"/>
    <w:rsid w:val="00097AD7"/>
    <w:rsid w:val="000B022A"/>
    <w:rsid w:val="000B0E25"/>
    <w:rsid w:val="000E1809"/>
    <w:rsid w:val="000F1159"/>
    <w:rsid w:val="000F2AC8"/>
    <w:rsid w:val="00103510"/>
    <w:rsid w:val="00104953"/>
    <w:rsid w:val="00115126"/>
    <w:rsid w:val="00121542"/>
    <w:rsid w:val="0015416E"/>
    <w:rsid w:val="00160169"/>
    <w:rsid w:val="0016141F"/>
    <w:rsid w:val="00161D60"/>
    <w:rsid w:val="00173575"/>
    <w:rsid w:val="001A2F06"/>
    <w:rsid w:val="001C6C91"/>
    <w:rsid w:val="001D3A51"/>
    <w:rsid w:val="001E2E42"/>
    <w:rsid w:val="001E6661"/>
    <w:rsid w:val="001F0577"/>
    <w:rsid w:val="00203272"/>
    <w:rsid w:val="00223E30"/>
    <w:rsid w:val="002252EC"/>
    <w:rsid w:val="00230BB9"/>
    <w:rsid w:val="002317BD"/>
    <w:rsid w:val="0023309F"/>
    <w:rsid w:val="00253251"/>
    <w:rsid w:val="00255331"/>
    <w:rsid w:val="0026502D"/>
    <w:rsid w:val="0027464F"/>
    <w:rsid w:val="00274977"/>
    <w:rsid w:val="002813E1"/>
    <w:rsid w:val="00290D96"/>
    <w:rsid w:val="002A3A54"/>
    <w:rsid w:val="002C40B1"/>
    <w:rsid w:val="002E3F55"/>
    <w:rsid w:val="002E4EAD"/>
    <w:rsid w:val="002E7E2E"/>
    <w:rsid w:val="002F0112"/>
    <w:rsid w:val="0030328B"/>
    <w:rsid w:val="003061F2"/>
    <w:rsid w:val="00313DBF"/>
    <w:rsid w:val="0032670A"/>
    <w:rsid w:val="00352EDC"/>
    <w:rsid w:val="00364D1A"/>
    <w:rsid w:val="00364E7F"/>
    <w:rsid w:val="003672A4"/>
    <w:rsid w:val="003765B0"/>
    <w:rsid w:val="00383710"/>
    <w:rsid w:val="0038405F"/>
    <w:rsid w:val="003A43CE"/>
    <w:rsid w:val="003B3EF4"/>
    <w:rsid w:val="003C68B6"/>
    <w:rsid w:val="003D1215"/>
    <w:rsid w:val="003D513F"/>
    <w:rsid w:val="003D71AC"/>
    <w:rsid w:val="003F5B89"/>
    <w:rsid w:val="003F71B7"/>
    <w:rsid w:val="004131E3"/>
    <w:rsid w:val="00421FE8"/>
    <w:rsid w:val="004252DB"/>
    <w:rsid w:val="00427F2C"/>
    <w:rsid w:val="00430106"/>
    <w:rsid w:val="00482790"/>
    <w:rsid w:val="004915D5"/>
    <w:rsid w:val="00491AD3"/>
    <w:rsid w:val="004922F1"/>
    <w:rsid w:val="004A75D5"/>
    <w:rsid w:val="004C4360"/>
    <w:rsid w:val="004D1629"/>
    <w:rsid w:val="004E5360"/>
    <w:rsid w:val="0050137A"/>
    <w:rsid w:val="00503141"/>
    <w:rsid w:val="0052203D"/>
    <w:rsid w:val="005251C4"/>
    <w:rsid w:val="00525344"/>
    <w:rsid w:val="0053465C"/>
    <w:rsid w:val="0055331C"/>
    <w:rsid w:val="00557480"/>
    <w:rsid w:val="00557948"/>
    <w:rsid w:val="00564B8C"/>
    <w:rsid w:val="0057040D"/>
    <w:rsid w:val="0057406A"/>
    <w:rsid w:val="00586E51"/>
    <w:rsid w:val="005A4A5D"/>
    <w:rsid w:val="005A5A23"/>
    <w:rsid w:val="005A61A9"/>
    <w:rsid w:val="005D4016"/>
    <w:rsid w:val="005D4862"/>
    <w:rsid w:val="00614828"/>
    <w:rsid w:val="006165FB"/>
    <w:rsid w:val="00630699"/>
    <w:rsid w:val="00633DCF"/>
    <w:rsid w:val="0063753D"/>
    <w:rsid w:val="00644DC3"/>
    <w:rsid w:val="00651B65"/>
    <w:rsid w:val="00674DAE"/>
    <w:rsid w:val="00696E58"/>
    <w:rsid w:val="006C75C9"/>
    <w:rsid w:val="00711276"/>
    <w:rsid w:val="007226CE"/>
    <w:rsid w:val="00734536"/>
    <w:rsid w:val="007455F7"/>
    <w:rsid w:val="007631ED"/>
    <w:rsid w:val="00763471"/>
    <w:rsid w:val="00763A15"/>
    <w:rsid w:val="00774A7F"/>
    <w:rsid w:val="0077794D"/>
    <w:rsid w:val="00785E44"/>
    <w:rsid w:val="007A4E77"/>
    <w:rsid w:val="007A6A25"/>
    <w:rsid w:val="007A76AC"/>
    <w:rsid w:val="007B194A"/>
    <w:rsid w:val="007B1A9F"/>
    <w:rsid w:val="007B1C16"/>
    <w:rsid w:val="007B70C2"/>
    <w:rsid w:val="007C0B33"/>
    <w:rsid w:val="007D3732"/>
    <w:rsid w:val="007D4FA9"/>
    <w:rsid w:val="00807B14"/>
    <w:rsid w:val="008265CF"/>
    <w:rsid w:val="00835B3B"/>
    <w:rsid w:val="00842875"/>
    <w:rsid w:val="00855363"/>
    <w:rsid w:val="00876E43"/>
    <w:rsid w:val="00880EB4"/>
    <w:rsid w:val="008820FC"/>
    <w:rsid w:val="008A4832"/>
    <w:rsid w:val="008A78F1"/>
    <w:rsid w:val="008B29B7"/>
    <w:rsid w:val="008B70FB"/>
    <w:rsid w:val="008B7D1A"/>
    <w:rsid w:val="008C3561"/>
    <w:rsid w:val="008E36F7"/>
    <w:rsid w:val="008E7306"/>
    <w:rsid w:val="008F1F4E"/>
    <w:rsid w:val="0090149C"/>
    <w:rsid w:val="00925842"/>
    <w:rsid w:val="00941C7B"/>
    <w:rsid w:val="00952EB7"/>
    <w:rsid w:val="009609CD"/>
    <w:rsid w:val="0097464F"/>
    <w:rsid w:val="0098083F"/>
    <w:rsid w:val="0099042C"/>
    <w:rsid w:val="009B6F59"/>
    <w:rsid w:val="009C1919"/>
    <w:rsid w:val="009D5E66"/>
    <w:rsid w:val="009E1AB9"/>
    <w:rsid w:val="009E7D34"/>
    <w:rsid w:val="009F6DBD"/>
    <w:rsid w:val="00A14615"/>
    <w:rsid w:val="00A44108"/>
    <w:rsid w:val="00A53849"/>
    <w:rsid w:val="00A72A65"/>
    <w:rsid w:val="00A9339A"/>
    <w:rsid w:val="00AC1E22"/>
    <w:rsid w:val="00AE112C"/>
    <w:rsid w:val="00AE1FD6"/>
    <w:rsid w:val="00AE4D44"/>
    <w:rsid w:val="00AF4D88"/>
    <w:rsid w:val="00AF5BBB"/>
    <w:rsid w:val="00B06084"/>
    <w:rsid w:val="00B079D3"/>
    <w:rsid w:val="00B305DB"/>
    <w:rsid w:val="00B35501"/>
    <w:rsid w:val="00B60E8C"/>
    <w:rsid w:val="00B741E3"/>
    <w:rsid w:val="00B81FB4"/>
    <w:rsid w:val="00B82DF9"/>
    <w:rsid w:val="00B847C6"/>
    <w:rsid w:val="00B8710F"/>
    <w:rsid w:val="00BA7541"/>
    <w:rsid w:val="00BC23A5"/>
    <w:rsid w:val="00BC24F5"/>
    <w:rsid w:val="00C04ABD"/>
    <w:rsid w:val="00C20DD6"/>
    <w:rsid w:val="00C36B1F"/>
    <w:rsid w:val="00C64CFF"/>
    <w:rsid w:val="00C66EC9"/>
    <w:rsid w:val="00C7087D"/>
    <w:rsid w:val="00C726F4"/>
    <w:rsid w:val="00C74DDE"/>
    <w:rsid w:val="00C8234C"/>
    <w:rsid w:val="00C85784"/>
    <w:rsid w:val="00C87E9E"/>
    <w:rsid w:val="00C96F22"/>
    <w:rsid w:val="00CB0917"/>
    <w:rsid w:val="00CB3643"/>
    <w:rsid w:val="00CD3F2D"/>
    <w:rsid w:val="00CE058D"/>
    <w:rsid w:val="00CE2F07"/>
    <w:rsid w:val="00CF718B"/>
    <w:rsid w:val="00D075E8"/>
    <w:rsid w:val="00D212CB"/>
    <w:rsid w:val="00D349C5"/>
    <w:rsid w:val="00D36015"/>
    <w:rsid w:val="00D37C48"/>
    <w:rsid w:val="00D420C4"/>
    <w:rsid w:val="00D570BC"/>
    <w:rsid w:val="00D62A37"/>
    <w:rsid w:val="00D706F0"/>
    <w:rsid w:val="00D925DA"/>
    <w:rsid w:val="00DB5AF7"/>
    <w:rsid w:val="00DD390C"/>
    <w:rsid w:val="00DE28AC"/>
    <w:rsid w:val="00E043DE"/>
    <w:rsid w:val="00E12C1D"/>
    <w:rsid w:val="00E15808"/>
    <w:rsid w:val="00E3254B"/>
    <w:rsid w:val="00E35AC9"/>
    <w:rsid w:val="00E42012"/>
    <w:rsid w:val="00E4540E"/>
    <w:rsid w:val="00E60C19"/>
    <w:rsid w:val="00E67744"/>
    <w:rsid w:val="00E67AA4"/>
    <w:rsid w:val="00E712F0"/>
    <w:rsid w:val="00E80889"/>
    <w:rsid w:val="00E81A0F"/>
    <w:rsid w:val="00EA4216"/>
    <w:rsid w:val="00EB46CE"/>
    <w:rsid w:val="00EC07F0"/>
    <w:rsid w:val="00ED5776"/>
    <w:rsid w:val="00ED7332"/>
    <w:rsid w:val="00EE3F52"/>
    <w:rsid w:val="00EF4D4D"/>
    <w:rsid w:val="00F15D14"/>
    <w:rsid w:val="00F3413E"/>
    <w:rsid w:val="00F35C68"/>
    <w:rsid w:val="00F71FF7"/>
    <w:rsid w:val="00F73984"/>
    <w:rsid w:val="00F73EA1"/>
    <w:rsid w:val="00F75AE7"/>
    <w:rsid w:val="00F77503"/>
    <w:rsid w:val="00FB534E"/>
    <w:rsid w:val="00FC0B18"/>
    <w:rsid w:val="00FE7484"/>
    <w:rsid w:val="00FF48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013DED"/>
    <w:pPr>
      <w:keepNext/>
      <w:keepLines/>
      <w:numPr>
        <w:numId w:val="48"/>
      </w:numPr>
      <w:spacing w:before="240"/>
      <w:ind w:left="-142" w:firstLine="142"/>
      <w:outlineLvl w:val="0"/>
    </w:pPr>
    <w:rPr>
      <w:rFonts w:ascii="Palatino Linotype" w:eastAsiaTheme="majorEastAsia" w:hAnsi="Palatino Linotype" w:cstheme="majorBidi"/>
      <w:b/>
      <w:szCs w:val="32"/>
      <w:lang w:val="es-ES"/>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5331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013DED"/>
    <w:rPr>
      <w:rFonts w:ascii="Palatino Linotype" w:eastAsiaTheme="majorEastAsia" w:hAnsi="Palatino Linotype" w:cstheme="majorBidi"/>
      <w:b/>
      <w:sz w:val="24"/>
      <w:szCs w:val="32"/>
      <w:bdr w:val="nil"/>
      <w:lang w:val="es-ES"/>
    </w:rPr>
  </w:style>
  <w:style w:type="paragraph" w:styleId="TtulodeTDC">
    <w:name w:val="TOC Heading"/>
    <w:basedOn w:val="Ttulo1"/>
    <w:next w:val="Normal"/>
    <w:uiPriority w:val="39"/>
    <w:unhideWhenUsed/>
    <w:qFormat/>
    <w:rsid w:val="008B29B7"/>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C75C9"/>
    <w:pPr>
      <w:tabs>
        <w:tab w:val="left" w:pos="660"/>
        <w:tab w:val="right" w:leader="dot" w:pos="8828"/>
      </w:tabs>
      <w:spacing w:after="100" w:line="360" w:lineRule="auto"/>
      <w:ind w:left="284"/>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EB46CE"/>
    <w:pPr>
      <w:tabs>
        <w:tab w:val="right" w:leader="dot" w:pos="8828"/>
      </w:tabs>
      <w:spacing w:after="100" w:line="360" w:lineRule="auto"/>
      <w:ind w:left="240"/>
    </w:pPr>
  </w:style>
  <w:style w:type="character" w:customStyle="1" w:styleId="Ttulo3Car">
    <w:name w:val="Título 3 Car"/>
    <w:basedOn w:val="Fuentedeprrafopredeter"/>
    <w:link w:val="Ttulo3"/>
    <w:uiPriority w:val="9"/>
    <w:rsid w:val="0055331C"/>
    <w:rPr>
      <w:rFonts w:asciiTheme="majorHAnsi" w:eastAsiaTheme="majorEastAsia" w:hAnsiTheme="majorHAnsi" w:cstheme="majorBidi"/>
      <w:color w:val="1F4D78" w:themeColor="accent1" w:themeShade="7F"/>
      <w:sz w:val="24"/>
      <w:szCs w:val="24"/>
      <w:bdr w:val="nil"/>
    </w:rPr>
  </w:style>
  <w:style w:type="paragraph" w:styleId="TDC3">
    <w:name w:val="toc 3"/>
    <w:basedOn w:val="Normal"/>
    <w:next w:val="Normal"/>
    <w:autoRedefine/>
    <w:uiPriority w:val="39"/>
    <w:unhideWhenUsed/>
    <w:rsid w:val="006C75C9"/>
    <w:pPr>
      <w:tabs>
        <w:tab w:val="right" w:leader="dot" w:pos="8828"/>
      </w:tabs>
      <w:spacing w:after="100"/>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7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2509B-C003-4453-ACA6-7C8502504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3667</Words>
  <Characters>20174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2018-11-21T00:42:00Z</cp:lastPrinted>
  <dcterms:created xsi:type="dcterms:W3CDTF">2018-11-21T00:42:00Z</dcterms:created>
  <dcterms:modified xsi:type="dcterms:W3CDTF">2019-01-18T01:15:00Z</dcterms:modified>
</cp:coreProperties>
</file>